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D1" w:rsidRPr="00891CD1" w:rsidRDefault="00891CD1" w:rsidP="00891CD1">
      <w:pPr>
        <w:tabs>
          <w:tab w:val="left" w:pos="284"/>
        </w:tabs>
        <w:ind w:left="720"/>
        <w:jc w:val="right"/>
        <w:rPr>
          <w:rFonts w:ascii="Arial" w:hAnsi="Arial" w:cs="Arial"/>
          <w:sz w:val="22"/>
          <w:szCs w:val="22"/>
        </w:rPr>
      </w:pPr>
      <w:r>
        <w:rPr>
          <w:rFonts w:ascii="Arial" w:hAnsi="Arial" w:cs="Arial"/>
          <w:sz w:val="22"/>
          <w:szCs w:val="22"/>
        </w:rPr>
        <w:t>PRE3</w:t>
      </w:r>
    </w:p>
    <w:p w:rsidR="00891CD1" w:rsidRDefault="00891CD1" w:rsidP="00891CD1">
      <w:pPr>
        <w:tabs>
          <w:tab w:val="left" w:pos="284"/>
        </w:tabs>
        <w:ind w:left="720"/>
        <w:jc w:val="center"/>
        <w:rPr>
          <w:rFonts w:ascii="Arial" w:hAnsi="Arial" w:cs="Arial"/>
          <w:b/>
          <w:sz w:val="22"/>
          <w:szCs w:val="22"/>
        </w:rPr>
      </w:pPr>
    </w:p>
    <w:p w:rsidR="0050185A" w:rsidRPr="000602A6" w:rsidRDefault="0050185A" w:rsidP="00891CD1">
      <w:pPr>
        <w:tabs>
          <w:tab w:val="left" w:pos="284"/>
        </w:tabs>
        <w:ind w:left="720"/>
        <w:jc w:val="center"/>
        <w:rPr>
          <w:rFonts w:ascii="Arial" w:hAnsi="Arial" w:cs="Arial"/>
          <w:b/>
          <w:sz w:val="22"/>
          <w:szCs w:val="22"/>
        </w:rPr>
      </w:pPr>
      <w:r w:rsidRPr="000602A6">
        <w:rPr>
          <w:rFonts w:ascii="Arial" w:hAnsi="Arial" w:cs="Arial"/>
          <w:b/>
          <w:sz w:val="22"/>
          <w:szCs w:val="22"/>
        </w:rPr>
        <w:t xml:space="preserve">Agroecología y Biotecnología: una relación </w:t>
      </w:r>
      <w:r w:rsidR="006125B5" w:rsidRPr="000602A6">
        <w:rPr>
          <w:rFonts w:ascii="Arial" w:hAnsi="Arial" w:cs="Arial"/>
          <w:b/>
          <w:sz w:val="22"/>
          <w:szCs w:val="22"/>
        </w:rPr>
        <w:t xml:space="preserve"> </w:t>
      </w:r>
      <w:r w:rsidRPr="000602A6">
        <w:rPr>
          <w:rFonts w:ascii="Arial" w:hAnsi="Arial" w:cs="Arial"/>
          <w:b/>
          <w:sz w:val="22"/>
          <w:szCs w:val="22"/>
        </w:rPr>
        <w:t>exitosa para la sustentabilidad</w:t>
      </w:r>
      <w:r w:rsidR="006125B5" w:rsidRPr="000602A6">
        <w:rPr>
          <w:rFonts w:ascii="Arial" w:hAnsi="Arial" w:cs="Arial"/>
          <w:b/>
          <w:sz w:val="22"/>
          <w:szCs w:val="22"/>
        </w:rPr>
        <w:t xml:space="preserve">. </w:t>
      </w:r>
      <w:r w:rsidRPr="000602A6">
        <w:rPr>
          <w:rFonts w:ascii="Arial" w:hAnsi="Arial" w:cs="Arial"/>
          <w:b/>
          <w:sz w:val="22"/>
          <w:szCs w:val="22"/>
          <w:lang w:val="es-VE"/>
        </w:rPr>
        <w:t xml:space="preserve">Interacción entre disciplinas: </w:t>
      </w:r>
      <w:r w:rsidRPr="000602A6">
        <w:rPr>
          <w:rFonts w:ascii="Arial" w:hAnsi="Arial" w:cs="Arial"/>
          <w:b/>
          <w:sz w:val="22"/>
          <w:szCs w:val="22"/>
        </w:rPr>
        <w:t>caso Escuela de V</w:t>
      </w:r>
      <w:r w:rsidR="006125B5" w:rsidRPr="000602A6">
        <w:rPr>
          <w:rFonts w:ascii="Arial" w:hAnsi="Arial" w:cs="Arial"/>
          <w:b/>
          <w:sz w:val="22"/>
          <w:szCs w:val="22"/>
        </w:rPr>
        <w:t>erano UNLP</w:t>
      </w:r>
    </w:p>
    <w:p w:rsidR="000602A6" w:rsidRPr="000602A6" w:rsidRDefault="000602A6" w:rsidP="00891CD1">
      <w:pPr>
        <w:tabs>
          <w:tab w:val="left" w:pos="284"/>
        </w:tabs>
        <w:ind w:left="720"/>
        <w:jc w:val="center"/>
        <w:rPr>
          <w:rFonts w:ascii="Arial" w:hAnsi="Arial" w:cs="Arial"/>
          <w:b/>
          <w:sz w:val="22"/>
          <w:szCs w:val="22"/>
          <w:lang w:val="es-VE"/>
        </w:rPr>
      </w:pPr>
    </w:p>
    <w:p w:rsidR="0050185A" w:rsidRPr="00891CD1" w:rsidRDefault="0050185A" w:rsidP="00891CD1">
      <w:pPr>
        <w:tabs>
          <w:tab w:val="left" w:pos="284"/>
        </w:tabs>
        <w:ind w:left="720"/>
        <w:jc w:val="center"/>
        <w:rPr>
          <w:rFonts w:ascii="Arial" w:hAnsi="Arial" w:cs="Arial"/>
          <w:sz w:val="22"/>
          <w:szCs w:val="22"/>
          <w:lang w:val="en-US"/>
        </w:rPr>
      </w:pPr>
      <w:proofErr w:type="gramStart"/>
      <w:r w:rsidRPr="00891CD1">
        <w:rPr>
          <w:rFonts w:ascii="Arial" w:hAnsi="Arial" w:cs="Arial"/>
          <w:sz w:val="22"/>
          <w:szCs w:val="22"/>
          <w:lang w:val="en-US"/>
        </w:rPr>
        <w:t>Trujillo, I</w:t>
      </w:r>
      <w:r w:rsidR="000602A6" w:rsidRPr="00891CD1">
        <w:rPr>
          <w:rFonts w:ascii="Arial" w:hAnsi="Arial" w:cs="Arial"/>
          <w:sz w:val="22"/>
          <w:szCs w:val="22"/>
          <w:lang w:val="en-US"/>
        </w:rPr>
        <w:t>.</w:t>
      </w:r>
      <w:r w:rsidRPr="00891CD1">
        <w:rPr>
          <w:rFonts w:ascii="Arial" w:hAnsi="Arial" w:cs="Arial"/>
          <w:sz w:val="22"/>
          <w:szCs w:val="22"/>
          <w:vertAlign w:val="superscript"/>
          <w:lang w:val="en-US"/>
        </w:rPr>
        <w:t>1</w:t>
      </w:r>
      <w:r w:rsidRPr="00891CD1">
        <w:rPr>
          <w:rFonts w:ascii="Arial" w:hAnsi="Arial" w:cs="Arial"/>
          <w:sz w:val="22"/>
          <w:szCs w:val="22"/>
          <w:lang w:val="en-US"/>
        </w:rPr>
        <w:t xml:space="preserve">; </w:t>
      </w:r>
      <w:proofErr w:type="spellStart"/>
      <w:r w:rsidRPr="00891CD1">
        <w:rPr>
          <w:rFonts w:ascii="Arial" w:hAnsi="Arial" w:cs="Arial"/>
          <w:sz w:val="22"/>
          <w:szCs w:val="22"/>
          <w:lang w:val="en-US"/>
        </w:rPr>
        <w:t>Sharry</w:t>
      </w:r>
      <w:proofErr w:type="spellEnd"/>
      <w:r w:rsidRPr="00891CD1">
        <w:rPr>
          <w:rFonts w:ascii="Arial" w:hAnsi="Arial" w:cs="Arial"/>
          <w:sz w:val="22"/>
          <w:szCs w:val="22"/>
          <w:lang w:val="en-US"/>
        </w:rPr>
        <w:t>, S</w:t>
      </w:r>
      <w:r w:rsidR="000602A6" w:rsidRPr="00891CD1">
        <w:rPr>
          <w:rFonts w:ascii="Arial" w:hAnsi="Arial" w:cs="Arial"/>
          <w:sz w:val="22"/>
          <w:szCs w:val="22"/>
          <w:lang w:val="en-US"/>
        </w:rPr>
        <w:t xml:space="preserve">. </w:t>
      </w:r>
      <w:r w:rsidRPr="00891CD1">
        <w:rPr>
          <w:rFonts w:ascii="Arial" w:hAnsi="Arial" w:cs="Arial"/>
          <w:sz w:val="22"/>
          <w:szCs w:val="22"/>
          <w:vertAlign w:val="superscript"/>
          <w:lang w:val="en-US"/>
        </w:rPr>
        <w:t>2</w:t>
      </w:r>
      <w:r w:rsidRPr="00891CD1">
        <w:rPr>
          <w:rFonts w:ascii="Arial" w:hAnsi="Arial" w:cs="Arial"/>
          <w:sz w:val="22"/>
          <w:szCs w:val="22"/>
          <w:lang w:val="en-US"/>
        </w:rPr>
        <w:t xml:space="preserve">; </w:t>
      </w:r>
      <w:bookmarkStart w:id="0" w:name="_GoBack"/>
      <w:r w:rsidRPr="00891CD1">
        <w:rPr>
          <w:rFonts w:ascii="Arial" w:hAnsi="Arial" w:cs="Arial"/>
          <w:sz w:val="22"/>
          <w:szCs w:val="22"/>
          <w:lang w:val="en-US"/>
        </w:rPr>
        <w:t>Salazar, E</w:t>
      </w:r>
      <w:r w:rsidR="000602A6" w:rsidRPr="00891CD1">
        <w:rPr>
          <w:rFonts w:ascii="Arial" w:hAnsi="Arial" w:cs="Arial"/>
          <w:sz w:val="22"/>
          <w:szCs w:val="22"/>
          <w:lang w:val="en-US"/>
        </w:rPr>
        <w:t xml:space="preserve">. </w:t>
      </w:r>
      <w:bookmarkEnd w:id="0"/>
      <w:r w:rsidRPr="00891CD1">
        <w:rPr>
          <w:rFonts w:ascii="Arial" w:hAnsi="Arial" w:cs="Arial"/>
          <w:sz w:val="22"/>
          <w:szCs w:val="22"/>
          <w:vertAlign w:val="superscript"/>
          <w:lang w:val="en-US"/>
        </w:rPr>
        <w:t>3</w:t>
      </w:r>
      <w:r w:rsidRPr="00891CD1">
        <w:rPr>
          <w:rFonts w:ascii="Arial" w:hAnsi="Arial" w:cs="Arial"/>
          <w:sz w:val="22"/>
          <w:szCs w:val="22"/>
          <w:lang w:val="en-US"/>
        </w:rPr>
        <w:t>.</w:t>
      </w:r>
      <w:proofErr w:type="gramEnd"/>
    </w:p>
    <w:p w:rsidR="000602A6" w:rsidRPr="00891CD1" w:rsidRDefault="000602A6" w:rsidP="00891CD1">
      <w:pPr>
        <w:tabs>
          <w:tab w:val="left" w:pos="284"/>
        </w:tabs>
        <w:ind w:left="720"/>
        <w:jc w:val="center"/>
        <w:rPr>
          <w:rFonts w:ascii="Arial" w:hAnsi="Arial" w:cs="Arial"/>
          <w:sz w:val="22"/>
          <w:szCs w:val="22"/>
          <w:lang w:val="en-US"/>
        </w:rPr>
      </w:pPr>
    </w:p>
    <w:p w:rsidR="0050185A" w:rsidRPr="000602A6" w:rsidRDefault="009026DA" w:rsidP="00891CD1">
      <w:pPr>
        <w:ind w:left="708"/>
        <w:rPr>
          <w:rFonts w:ascii="Arial" w:hAnsi="Arial" w:cs="Arial"/>
          <w:sz w:val="22"/>
          <w:szCs w:val="22"/>
        </w:rPr>
      </w:pPr>
      <w:r w:rsidRPr="000602A6">
        <w:rPr>
          <w:rFonts w:ascii="Arial" w:hAnsi="Arial" w:cs="Arial"/>
          <w:sz w:val="22"/>
          <w:szCs w:val="22"/>
          <w:vertAlign w:val="superscript"/>
        </w:rPr>
        <w:t>1</w:t>
      </w:r>
      <w:r w:rsidR="0050185A" w:rsidRPr="000602A6">
        <w:rPr>
          <w:rFonts w:ascii="Arial" w:hAnsi="Arial" w:cs="Arial"/>
          <w:sz w:val="22"/>
          <w:szCs w:val="22"/>
        </w:rPr>
        <w:t>Centro de Estudios para el Desarrollo Agroecológico Tropical-CEDAT. Instituto de Estudios Científicos y Tecnológicos-IDECYT. Universidad Nacional Experimental Simón Rodríguez</w:t>
      </w:r>
      <w:r w:rsidRPr="000602A6">
        <w:rPr>
          <w:rFonts w:ascii="Arial" w:hAnsi="Arial" w:cs="Arial"/>
          <w:sz w:val="22"/>
          <w:szCs w:val="22"/>
        </w:rPr>
        <w:t>, Venezuela.</w:t>
      </w:r>
    </w:p>
    <w:p w:rsidR="009026DA" w:rsidRPr="000602A6" w:rsidRDefault="009026DA" w:rsidP="00891CD1">
      <w:pPr>
        <w:tabs>
          <w:tab w:val="left" w:pos="284"/>
        </w:tabs>
        <w:ind w:left="720"/>
        <w:rPr>
          <w:rFonts w:ascii="Arial" w:hAnsi="Arial" w:cs="Arial"/>
          <w:sz w:val="22"/>
          <w:szCs w:val="22"/>
        </w:rPr>
      </w:pPr>
      <w:r w:rsidRPr="000602A6">
        <w:rPr>
          <w:rFonts w:ascii="Arial" w:hAnsi="Arial" w:cs="Arial"/>
          <w:sz w:val="22"/>
          <w:szCs w:val="22"/>
          <w:shd w:val="clear" w:color="auto" w:fill="FFFFFF"/>
          <w:vertAlign w:val="superscript"/>
        </w:rPr>
        <w:t>2</w:t>
      </w:r>
      <w:r w:rsidRPr="000602A6">
        <w:rPr>
          <w:rFonts w:ascii="Arial" w:hAnsi="Arial" w:cs="Arial"/>
          <w:sz w:val="22"/>
          <w:szCs w:val="22"/>
          <w:shd w:val="clear" w:color="auto" w:fill="FFFFFF"/>
        </w:rPr>
        <w:t>Facultad de Ciencias Agrarias y Forestales</w:t>
      </w:r>
      <w:r w:rsidRPr="000602A6">
        <w:rPr>
          <w:rFonts w:ascii="Arial" w:hAnsi="Arial" w:cs="Arial"/>
          <w:sz w:val="22"/>
          <w:szCs w:val="22"/>
        </w:rPr>
        <w:t>. Universidad Nacional de La Plata, Argentina.</w:t>
      </w:r>
    </w:p>
    <w:p w:rsidR="0050185A" w:rsidRPr="000602A6" w:rsidRDefault="009026DA" w:rsidP="00891CD1">
      <w:pPr>
        <w:tabs>
          <w:tab w:val="left" w:pos="284"/>
        </w:tabs>
        <w:ind w:left="720"/>
        <w:rPr>
          <w:rFonts w:ascii="Arial" w:hAnsi="Arial" w:cs="Arial"/>
          <w:sz w:val="22"/>
          <w:szCs w:val="22"/>
        </w:rPr>
      </w:pPr>
      <w:r w:rsidRPr="000602A6">
        <w:rPr>
          <w:rFonts w:ascii="Arial" w:hAnsi="Arial" w:cs="Arial"/>
          <w:sz w:val="22"/>
          <w:szCs w:val="22"/>
          <w:vertAlign w:val="superscript"/>
        </w:rPr>
        <w:t>3</w:t>
      </w:r>
      <w:r w:rsidR="0050185A" w:rsidRPr="000602A6">
        <w:rPr>
          <w:rFonts w:ascii="Arial" w:hAnsi="Arial" w:cs="Arial"/>
          <w:sz w:val="22"/>
          <w:szCs w:val="22"/>
        </w:rPr>
        <w:t>Instituto Nacional de Investigaciones Agrícolas (INIA). Centro Nacional de Investigaciones Agropecuarias (CENIAP)-Venezuela.</w:t>
      </w:r>
    </w:p>
    <w:p w:rsidR="0050185A" w:rsidRPr="000602A6" w:rsidRDefault="0050185A" w:rsidP="00891CD1">
      <w:pPr>
        <w:tabs>
          <w:tab w:val="left" w:pos="284"/>
        </w:tabs>
        <w:ind w:left="720"/>
        <w:jc w:val="center"/>
        <w:rPr>
          <w:rFonts w:ascii="Arial" w:hAnsi="Arial" w:cs="Arial"/>
          <w:color w:val="339966"/>
          <w:sz w:val="22"/>
          <w:szCs w:val="22"/>
        </w:rPr>
      </w:pPr>
    </w:p>
    <w:p w:rsidR="006125B5" w:rsidRPr="000602A6" w:rsidRDefault="0050185A" w:rsidP="00891CD1">
      <w:pPr>
        <w:tabs>
          <w:tab w:val="left" w:pos="284"/>
        </w:tabs>
        <w:ind w:left="720"/>
        <w:jc w:val="both"/>
        <w:rPr>
          <w:rFonts w:ascii="Arial" w:hAnsi="Arial" w:cs="Arial"/>
          <w:color w:val="339966"/>
          <w:sz w:val="22"/>
          <w:szCs w:val="22"/>
        </w:rPr>
      </w:pPr>
      <w:r w:rsidRPr="000602A6">
        <w:rPr>
          <w:rFonts w:ascii="Arial" w:hAnsi="Arial" w:cs="Arial"/>
          <w:sz w:val="22"/>
          <w:szCs w:val="22"/>
          <w:lang w:val="es-VE"/>
        </w:rPr>
        <w:t>E</w:t>
      </w:r>
      <w:r w:rsidR="006125B5" w:rsidRPr="000602A6">
        <w:rPr>
          <w:rFonts w:ascii="Arial" w:hAnsi="Arial" w:cs="Arial"/>
          <w:sz w:val="22"/>
          <w:szCs w:val="22"/>
          <w:lang w:val="es-VE"/>
        </w:rPr>
        <w:t xml:space="preserve">l ser humano ha visto la necesidad de hacer cambios para mejorar y optimizar los procesos de producción y distribución de alimentos, a través de un modelo conservacionista, lo cual ha conllevado cambios en las prácticas agrícolas que se implementaban hace </w:t>
      </w:r>
      <w:r w:rsidRPr="000602A6">
        <w:rPr>
          <w:rFonts w:ascii="Arial" w:hAnsi="Arial" w:cs="Arial"/>
          <w:sz w:val="22"/>
          <w:szCs w:val="22"/>
          <w:lang w:val="es-VE"/>
        </w:rPr>
        <w:t xml:space="preserve">algunas </w:t>
      </w:r>
      <w:r w:rsidR="006125B5" w:rsidRPr="000602A6">
        <w:rPr>
          <w:rFonts w:ascii="Arial" w:hAnsi="Arial" w:cs="Arial"/>
          <w:sz w:val="22"/>
          <w:szCs w:val="22"/>
          <w:lang w:val="es-VE"/>
        </w:rPr>
        <w:t xml:space="preserve"> décadas, sin embargo, todavía existe la utilización de métodos convencionales que generan deterioro ambiental. </w:t>
      </w:r>
      <w:r w:rsidR="006125B5" w:rsidRPr="000602A6">
        <w:rPr>
          <w:rFonts w:ascii="Arial" w:hAnsi="Arial" w:cs="Arial"/>
          <w:sz w:val="22"/>
          <w:szCs w:val="22"/>
        </w:rPr>
        <w:t>En la actualidad, se plantea tanto el uso de técnicas tradicionales, como de técnicas innovadoras para alcanzar una agricultura sustentable</w:t>
      </w:r>
      <w:r w:rsidR="006125B5" w:rsidRPr="000602A6">
        <w:rPr>
          <w:rFonts w:ascii="Arial" w:hAnsi="Arial" w:cs="Arial"/>
          <w:sz w:val="22"/>
          <w:szCs w:val="22"/>
          <w:lang w:val="es-VE"/>
        </w:rPr>
        <w:t xml:space="preserve">. </w:t>
      </w:r>
      <w:r w:rsidR="006125B5" w:rsidRPr="000602A6">
        <w:rPr>
          <w:rFonts w:ascii="Arial" w:hAnsi="Arial" w:cs="Arial"/>
          <w:sz w:val="22"/>
          <w:szCs w:val="22"/>
        </w:rPr>
        <w:t xml:space="preserve">Un enfoque agroecológico </w:t>
      </w:r>
      <w:r w:rsidR="006125B5" w:rsidRPr="000602A6">
        <w:rPr>
          <w:rFonts w:ascii="Arial" w:hAnsi="Arial" w:cs="Arial"/>
          <w:color w:val="000000"/>
          <w:sz w:val="22"/>
          <w:szCs w:val="22"/>
          <w:lang w:val="es-VE"/>
        </w:rPr>
        <w:t xml:space="preserve"> eficiente </w:t>
      </w:r>
      <w:r w:rsidR="006125B5" w:rsidRPr="000602A6">
        <w:rPr>
          <w:rFonts w:ascii="Arial" w:eastAsia="Arial Unicode MS" w:hAnsi="Arial" w:cs="Arial"/>
          <w:color w:val="000000"/>
          <w:sz w:val="22"/>
          <w:szCs w:val="22"/>
          <w:lang w:val="es-VE"/>
        </w:rPr>
        <w:t xml:space="preserve">requiere la </w:t>
      </w:r>
      <w:r w:rsidR="006125B5" w:rsidRPr="000602A6">
        <w:rPr>
          <w:rFonts w:ascii="Arial" w:hAnsi="Arial" w:cs="Arial"/>
          <w:color w:val="000000"/>
          <w:sz w:val="22"/>
          <w:szCs w:val="22"/>
          <w:lang w:val="es-VE"/>
        </w:rPr>
        <w:t xml:space="preserve">implantación eficiente de nuevas tecnologías, que puedan ser ajustadas en programas de desarrollo sustentable, trazando diversas alternativas, y </w:t>
      </w:r>
      <w:r w:rsidR="006125B5" w:rsidRPr="000602A6">
        <w:rPr>
          <w:rFonts w:ascii="Arial" w:hAnsi="Arial" w:cs="Arial"/>
          <w:sz w:val="22"/>
          <w:szCs w:val="22"/>
          <w:lang w:val="es-ES_tradnl"/>
        </w:rPr>
        <w:t>el producto obtenido a partir de la biotecnología, debe servir para superar diferentes problemas: enfermedades, plagas y limitantes ambientales de la producción vegetal, o para mejorar la calidad y cantidad de los productos obtenidos.</w:t>
      </w:r>
      <w:r w:rsidR="006125B5" w:rsidRPr="000602A6">
        <w:rPr>
          <w:rFonts w:ascii="Arial" w:hAnsi="Arial" w:cs="Arial"/>
          <w:sz w:val="22"/>
          <w:szCs w:val="22"/>
        </w:rPr>
        <w:t xml:space="preserve"> </w:t>
      </w:r>
      <w:r w:rsidR="006125B5" w:rsidRPr="000602A6">
        <w:rPr>
          <w:rFonts w:ascii="Arial" w:hAnsi="Arial" w:cs="Arial"/>
          <w:sz w:val="22"/>
          <w:szCs w:val="22"/>
          <w:lang w:val="es-VE"/>
        </w:rPr>
        <w:t xml:space="preserve">Al respecto, se debe destacar, que </w:t>
      </w:r>
      <w:r w:rsidR="006125B5" w:rsidRPr="000602A6">
        <w:rPr>
          <w:rFonts w:ascii="Arial" w:hAnsi="Arial" w:cs="Arial"/>
          <w:sz w:val="22"/>
          <w:szCs w:val="22"/>
        </w:rPr>
        <w:t>la biotecnología, o en realidad cualquier tecnología, no existe en el vacío, se deriva del quehacer humano y se ve afectada por el entorno social, cultural y político, donde la sociedad orienta y regula la tecnología, tratando de minimizar las deficiencias y de maximizar los beneficio E</w:t>
      </w:r>
      <w:r w:rsidRPr="000602A6">
        <w:rPr>
          <w:rFonts w:ascii="Arial" w:hAnsi="Arial" w:cs="Arial"/>
          <w:sz w:val="22"/>
          <w:szCs w:val="22"/>
        </w:rPr>
        <w:t xml:space="preserve">l curso denominado Agroecología y Biotecnología: una relación  exitosa para la sustentabilidad, </w:t>
      </w:r>
      <w:r w:rsidR="006125B5" w:rsidRPr="000602A6">
        <w:rPr>
          <w:rFonts w:ascii="Arial" w:hAnsi="Arial" w:cs="Arial"/>
          <w:sz w:val="22"/>
          <w:szCs w:val="22"/>
        </w:rPr>
        <w:t xml:space="preserve">fue el resultado de un análisis sobre una controversia que no se ha manejado de forma explícita, y que sin embargo está presente permanentemente en las discusiones sobre los nuevos enfoques de la agricultura.  </w:t>
      </w:r>
      <w:r w:rsidR="006125B5" w:rsidRPr="000602A6">
        <w:rPr>
          <w:rFonts w:ascii="Arial" w:hAnsi="Arial" w:cs="Arial"/>
          <w:color w:val="000000"/>
          <w:sz w:val="22"/>
          <w:szCs w:val="22"/>
          <w:lang w:val="es-ES_tradnl"/>
        </w:rPr>
        <w:t xml:space="preserve">  En principio no se observa antagonismo entre las dos áreas, sin embargo, muchos sectores involucrados en cada disciplina afirman su incompatibilidad.</w:t>
      </w:r>
      <w:r w:rsidR="006125B5" w:rsidRPr="000602A6">
        <w:rPr>
          <w:rFonts w:ascii="Arial" w:hAnsi="Arial" w:cs="Arial"/>
          <w:sz w:val="22"/>
          <w:szCs w:val="22"/>
        </w:rPr>
        <w:t xml:space="preserve"> </w:t>
      </w:r>
      <w:r w:rsidRPr="000602A6">
        <w:rPr>
          <w:rFonts w:ascii="Arial" w:hAnsi="Arial" w:cs="Arial"/>
          <w:sz w:val="22"/>
          <w:szCs w:val="22"/>
        </w:rPr>
        <w:t>Sin embargo,</w:t>
      </w:r>
      <w:r w:rsidR="009026DA" w:rsidRPr="000602A6">
        <w:rPr>
          <w:rFonts w:ascii="Arial" w:hAnsi="Arial" w:cs="Arial"/>
          <w:sz w:val="22"/>
          <w:szCs w:val="22"/>
        </w:rPr>
        <w:t xml:space="preserve"> </w:t>
      </w:r>
      <w:r w:rsidRPr="000602A6">
        <w:rPr>
          <w:rFonts w:ascii="Arial" w:hAnsi="Arial" w:cs="Arial"/>
          <w:sz w:val="22"/>
          <w:szCs w:val="22"/>
        </w:rPr>
        <w:t>e</w:t>
      </w:r>
      <w:r w:rsidR="006125B5" w:rsidRPr="000602A6">
        <w:rPr>
          <w:rFonts w:ascii="Arial" w:hAnsi="Arial" w:cs="Arial"/>
          <w:sz w:val="22"/>
          <w:szCs w:val="22"/>
        </w:rPr>
        <w:t>n la actualidad se plantea tanto el uso de técnicas tradicionales, como de técnicas innovadoras para alcanzar una agricultura sustentable. Los resultados exitosos de este curso se tradujeron en la participación de profesores y estudiantes de diversas disciplinas, donde se debatieron temas relacionados con ambas áreas, concluyendo la necesidad de su integración</w:t>
      </w:r>
      <w:r w:rsidRPr="000602A6">
        <w:rPr>
          <w:rFonts w:ascii="Arial" w:hAnsi="Arial" w:cs="Arial"/>
          <w:sz w:val="22"/>
          <w:szCs w:val="22"/>
        </w:rPr>
        <w:t xml:space="preserve"> a través de cursos, proyectos y actividades practic</w:t>
      </w:r>
      <w:r w:rsidR="000602A6">
        <w:rPr>
          <w:rFonts w:ascii="Arial" w:hAnsi="Arial" w:cs="Arial"/>
          <w:sz w:val="22"/>
          <w:szCs w:val="22"/>
        </w:rPr>
        <w:t>as.</w:t>
      </w:r>
    </w:p>
    <w:sectPr w:rsidR="006125B5" w:rsidRPr="000602A6" w:rsidSect="000602A6">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5"/>
    <w:rsid w:val="000602A6"/>
    <w:rsid w:val="0050185A"/>
    <w:rsid w:val="006125B5"/>
    <w:rsid w:val="00707FAD"/>
    <w:rsid w:val="00891CD1"/>
    <w:rsid w:val="009026DA"/>
    <w:rsid w:val="00FB7D7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Iselen</dc:creator>
  <cp:lastModifiedBy>Alejandro Salvio Escandon</cp:lastModifiedBy>
  <cp:revision>2</cp:revision>
  <dcterms:created xsi:type="dcterms:W3CDTF">2017-07-27T13:02:00Z</dcterms:created>
  <dcterms:modified xsi:type="dcterms:W3CDTF">2017-07-27T13:02:00Z</dcterms:modified>
</cp:coreProperties>
</file>