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80" w:rsidRPr="00755980" w:rsidRDefault="00755980" w:rsidP="00755980">
      <w:pPr>
        <w:widowControl/>
        <w:suppressAutoHyphens w:val="0"/>
        <w:autoSpaceDE w:val="0"/>
        <w:autoSpaceDN w:val="0"/>
        <w:adjustRightInd w:val="0"/>
        <w:ind w:left="-142"/>
        <w:jc w:val="right"/>
        <w:rPr>
          <w:rFonts w:ascii="Arial" w:hAnsi="Arial" w:cs="Arial"/>
          <w:bCs/>
          <w:sz w:val="22"/>
          <w:szCs w:val="22"/>
          <w:lang w:val="es-AR"/>
        </w:rPr>
      </w:pPr>
      <w:r w:rsidRPr="00755980">
        <w:rPr>
          <w:rFonts w:ascii="Arial" w:hAnsi="Arial" w:cs="Arial"/>
          <w:bCs/>
          <w:sz w:val="22"/>
          <w:szCs w:val="22"/>
          <w:lang w:val="es-AR"/>
        </w:rPr>
        <w:t>BV</w:t>
      </w:r>
      <w:r w:rsidR="000532C8">
        <w:rPr>
          <w:rFonts w:ascii="Arial" w:hAnsi="Arial" w:cs="Arial"/>
          <w:bCs/>
          <w:sz w:val="22"/>
          <w:szCs w:val="22"/>
          <w:lang w:val="es-AR"/>
        </w:rPr>
        <w:t>2</w:t>
      </w:r>
    </w:p>
    <w:p w:rsidR="00B342AC" w:rsidRPr="00B342AC" w:rsidRDefault="00156A4D" w:rsidP="005237A8">
      <w:pPr>
        <w:widowControl/>
        <w:suppressAutoHyphens w:val="0"/>
        <w:autoSpaceDE w:val="0"/>
        <w:autoSpaceDN w:val="0"/>
        <w:adjustRightInd w:val="0"/>
        <w:ind w:left="-142"/>
        <w:jc w:val="center"/>
        <w:rPr>
          <w:rFonts w:ascii="Arial" w:hAnsi="Arial" w:cs="Arial"/>
          <w:sz w:val="22"/>
          <w:szCs w:val="22"/>
          <w:lang w:val="es-AR" w:eastAsia="es-AR"/>
        </w:rPr>
      </w:pPr>
      <w:r w:rsidRPr="005933F8">
        <w:rPr>
          <w:rFonts w:ascii="Arial" w:hAnsi="Arial" w:cs="Arial"/>
          <w:b/>
          <w:bCs/>
          <w:sz w:val="22"/>
          <w:szCs w:val="22"/>
          <w:lang w:val="es-AR"/>
        </w:rPr>
        <w:t>Producción</w:t>
      </w:r>
      <w:r w:rsidR="00B342AC" w:rsidRPr="00B342AC">
        <w:rPr>
          <w:rFonts w:ascii="Arial" w:hAnsi="Arial" w:cs="Arial"/>
          <w:b/>
          <w:bCs/>
          <w:sz w:val="22"/>
          <w:szCs w:val="22"/>
          <w:lang w:val="es-AR"/>
        </w:rPr>
        <w:t xml:space="preserve"> de antraquinonas naturales provenientes de Heterophyllaea pustulata Hook f. (Rubiáceas) para su aplicación en terapias anticancerígenas</w:t>
      </w:r>
    </w:p>
    <w:p w:rsidR="00B342AC" w:rsidRPr="00B342AC" w:rsidRDefault="00B342AC" w:rsidP="00BE2CD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 w:eastAsia="es-AR"/>
        </w:rPr>
      </w:pPr>
    </w:p>
    <w:p w:rsidR="00B342AC" w:rsidRDefault="00B342AC" w:rsidP="00BE2CD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  <w:proofErr w:type="spellStart"/>
      <w:r w:rsidRPr="00B342AC">
        <w:rPr>
          <w:rFonts w:ascii="Arial" w:hAnsi="Arial" w:cs="Arial"/>
          <w:sz w:val="22"/>
          <w:szCs w:val="22"/>
          <w:lang w:val="es-AR" w:eastAsia="es-AR"/>
        </w:rPr>
        <w:t>Cogno</w:t>
      </w:r>
      <w:proofErr w:type="spellEnd"/>
      <w:r w:rsidRPr="00B342AC">
        <w:rPr>
          <w:rFonts w:ascii="Arial" w:hAnsi="Arial" w:cs="Arial"/>
          <w:sz w:val="22"/>
          <w:szCs w:val="22"/>
          <w:lang w:val="es-AR" w:eastAsia="es-AR"/>
        </w:rPr>
        <w:t xml:space="preserve"> S</w:t>
      </w:r>
      <w:r w:rsidR="005237A8">
        <w:rPr>
          <w:rFonts w:ascii="Arial" w:hAnsi="Arial" w:cs="Arial"/>
          <w:sz w:val="22"/>
          <w:szCs w:val="22"/>
          <w:vertAlign w:val="superscript"/>
          <w:lang w:val="es-AR" w:eastAsia="es-AR"/>
        </w:rPr>
        <w:t>1</w:t>
      </w:r>
      <w:r w:rsidRPr="00B342AC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proofErr w:type="spellStart"/>
      <w:r w:rsidRPr="00B342AC">
        <w:rPr>
          <w:rFonts w:ascii="Arial" w:hAnsi="Arial" w:cs="Arial"/>
          <w:sz w:val="22"/>
          <w:szCs w:val="22"/>
          <w:lang w:val="es-AR" w:eastAsia="es-AR"/>
        </w:rPr>
        <w:t>Comini</w:t>
      </w:r>
      <w:proofErr w:type="spellEnd"/>
      <w:r w:rsidRPr="00B342AC">
        <w:rPr>
          <w:rFonts w:ascii="Arial" w:hAnsi="Arial" w:cs="Arial"/>
          <w:sz w:val="22"/>
          <w:szCs w:val="22"/>
          <w:lang w:val="es-AR" w:eastAsia="es-AR"/>
        </w:rPr>
        <w:t xml:space="preserve"> L</w:t>
      </w:r>
      <w:r w:rsidR="005237A8">
        <w:rPr>
          <w:rFonts w:ascii="Arial" w:hAnsi="Arial" w:cs="Arial"/>
          <w:sz w:val="22"/>
          <w:szCs w:val="22"/>
          <w:vertAlign w:val="superscript"/>
          <w:lang w:val="es-AR" w:eastAsia="es-AR"/>
        </w:rPr>
        <w:t>2</w:t>
      </w:r>
      <w:r w:rsidRPr="00B342AC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r w:rsidR="005237A8">
        <w:rPr>
          <w:rFonts w:ascii="Arial" w:hAnsi="Arial" w:cs="Arial"/>
          <w:sz w:val="22"/>
          <w:szCs w:val="22"/>
          <w:lang w:val="es-AR" w:eastAsia="es-AR"/>
        </w:rPr>
        <w:t xml:space="preserve">Núñez </w:t>
      </w:r>
      <w:r w:rsidRPr="00B342AC">
        <w:rPr>
          <w:rFonts w:ascii="Arial" w:hAnsi="Arial" w:cs="Arial"/>
          <w:sz w:val="22"/>
          <w:szCs w:val="22"/>
          <w:lang w:val="es-AR" w:eastAsia="es-AR"/>
        </w:rPr>
        <w:t>Montoya S</w:t>
      </w:r>
      <w:r w:rsidR="005237A8">
        <w:rPr>
          <w:rFonts w:ascii="Arial" w:hAnsi="Arial" w:cs="Arial"/>
          <w:sz w:val="22"/>
          <w:szCs w:val="22"/>
          <w:vertAlign w:val="superscript"/>
          <w:lang w:val="es-AR" w:eastAsia="es-AR"/>
        </w:rPr>
        <w:t>2</w:t>
      </w:r>
      <w:r w:rsidRPr="00B342AC">
        <w:rPr>
          <w:rFonts w:ascii="Arial" w:hAnsi="Arial" w:cs="Arial"/>
          <w:sz w:val="22"/>
          <w:szCs w:val="22"/>
          <w:lang w:val="es-AR" w:eastAsia="es-AR"/>
        </w:rPr>
        <w:t>, Cabrera JL</w:t>
      </w:r>
      <w:r w:rsidR="005237A8">
        <w:rPr>
          <w:rFonts w:ascii="Arial" w:hAnsi="Arial" w:cs="Arial"/>
          <w:sz w:val="22"/>
          <w:szCs w:val="22"/>
          <w:vertAlign w:val="superscript"/>
          <w:lang w:val="es-AR" w:eastAsia="es-AR"/>
        </w:rPr>
        <w:t>2</w:t>
      </w:r>
      <w:r w:rsidRPr="00B342AC">
        <w:rPr>
          <w:rFonts w:ascii="Arial" w:hAnsi="Arial" w:cs="Arial"/>
          <w:sz w:val="22"/>
          <w:szCs w:val="22"/>
          <w:lang w:val="es-AR" w:eastAsia="es-AR"/>
        </w:rPr>
        <w:t xml:space="preserve">, </w:t>
      </w:r>
      <w:r w:rsidR="00483F48" w:rsidRPr="00B342AC">
        <w:rPr>
          <w:rFonts w:ascii="Arial" w:hAnsi="Arial" w:cs="Arial"/>
          <w:sz w:val="22"/>
          <w:szCs w:val="22"/>
          <w:lang w:val="es-AR"/>
        </w:rPr>
        <w:t>Agostini E</w:t>
      </w:r>
      <w:r w:rsidR="00483F48">
        <w:rPr>
          <w:rFonts w:ascii="Arial" w:hAnsi="Arial" w:cs="Arial"/>
          <w:sz w:val="22"/>
          <w:szCs w:val="22"/>
          <w:vertAlign w:val="superscript"/>
          <w:lang w:val="es-AR"/>
        </w:rPr>
        <w:t xml:space="preserve">1 </w:t>
      </w:r>
      <w:r w:rsidR="00483F48">
        <w:rPr>
          <w:rFonts w:ascii="Arial" w:hAnsi="Arial" w:cs="Arial"/>
          <w:sz w:val="22"/>
          <w:szCs w:val="22"/>
          <w:lang w:val="es-AR"/>
        </w:rPr>
        <w:t xml:space="preserve">y </w:t>
      </w:r>
      <w:bookmarkStart w:id="0" w:name="_GoBack"/>
      <w:r w:rsidRPr="00B342AC">
        <w:rPr>
          <w:rFonts w:ascii="Arial" w:hAnsi="Arial" w:cs="Arial"/>
          <w:sz w:val="22"/>
          <w:szCs w:val="22"/>
          <w:lang w:val="es-AR" w:eastAsia="es-AR"/>
        </w:rPr>
        <w:t>Rivarola V</w:t>
      </w:r>
      <w:bookmarkEnd w:id="0"/>
      <w:r w:rsidR="005237A8">
        <w:rPr>
          <w:rFonts w:ascii="Arial" w:hAnsi="Arial" w:cs="Arial"/>
          <w:sz w:val="22"/>
          <w:szCs w:val="22"/>
          <w:vertAlign w:val="superscript"/>
          <w:lang w:val="es-AR" w:eastAsia="es-AR"/>
        </w:rPr>
        <w:t>1</w:t>
      </w:r>
      <w:r w:rsidRPr="00B342AC">
        <w:rPr>
          <w:rFonts w:ascii="Arial" w:hAnsi="Arial" w:cs="Arial"/>
          <w:sz w:val="22"/>
          <w:szCs w:val="22"/>
          <w:lang w:val="es-AR"/>
        </w:rPr>
        <w:t>.</w:t>
      </w:r>
    </w:p>
    <w:p w:rsidR="005237A8" w:rsidRDefault="005237A8" w:rsidP="00BE2CDC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AR"/>
        </w:rPr>
      </w:pPr>
    </w:p>
    <w:p w:rsidR="005237A8" w:rsidRPr="00991506" w:rsidRDefault="005237A8" w:rsidP="005237A8">
      <w:pPr>
        <w:pStyle w:val="Default"/>
        <w:rPr>
          <w:rFonts w:ascii="Arial" w:hAnsi="Arial" w:cs="Arial"/>
          <w:sz w:val="22"/>
          <w:szCs w:val="22"/>
          <w:lang w:val="es-ES_tradnl"/>
        </w:rPr>
      </w:pPr>
      <w:proofErr w:type="gramStart"/>
      <w:r>
        <w:rPr>
          <w:rFonts w:ascii="Arial" w:hAnsi="Arial" w:cs="Arial"/>
          <w:sz w:val="22"/>
          <w:szCs w:val="22"/>
          <w:lang w:val="es-ES_tradnl"/>
        </w:rPr>
        <w:t>1)</w:t>
      </w:r>
      <w:r w:rsidRPr="00991506">
        <w:rPr>
          <w:rFonts w:ascii="Arial" w:hAnsi="Arial" w:cs="Arial"/>
          <w:sz w:val="22"/>
          <w:szCs w:val="22"/>
          <w:lang w:val="es-ES_tradnl"/>
        </w:rPr>
        <w:t>Dpto</w:t>
      </w:r>
      <w:proofErr w:type="gramEnd"/>
      <w:r w:rsidRPr="00991506">
        <w:rPr>
          <w:rFonts w:ascii="Arial" w:hAnsi="Arial" w:cs="Arial"/>
          <w:sz w:val="22"/>
          <w:szCs w:val="22"/>
          <w:lang w:val="es-ES_tradnl"/>
        </w:rPr>
        <w:t xml:space="preserve">. Biología Molecular - </w:t>
      </w:r>
      <w:proofErr w:type="spellStart"/>
      <w:r w:rsidRPr="00991506">
        <w:rPr>
          <w:rFonts w:ascii="Arial" w:hAnsi="Arial" w:cs="Arial"/>
          <w:sz w:val="22"/>
          <w:szCs w:val="22"/>
          <w:lang w:val="es-ES_tradnl"/>
        </w:rPr>
        <w:t>FCEFQyN</w:t>
      </w:r>
      <w:proofErr w:type="spellEnd"/>
      <w:r w:rsidRPr="00991506">
        <w:rPr>
          <w:rFonts w:ascii="Arial" w:hAnsi="Arial" w:cs="Arial"/>
          <w:sz w:val="22"/>
          <w:szCs w:val="22"/>
          <w:lang w:val="es-ES_tradnl"/>
        </w:rPr>
        <w:t xml:space="preserve"> - Universidad Nacional de Río Cuarto (Córdoba, Argentina).</w:t>
      </w:r>
      <w:r>
        <w:rPr>
          <w:rFonts w:ascii="Arial" w:hAnsi="Arial" w:cs="Arial"/>
          <w:sz w:val="22"/>
          <w:szCs w:val="22"/>
          <w:lang w:val="es-ES_tradnl"/>
        </w:rPr>
        <w:t xml:space="preserve"> 2) </w:t>
      </w:r>
      <w:r w:rsidRPr="005237A8">
        <w:rPr>
          <w:rFonts w:ascii="Arial" w:hAnsi="Arial" w:cs="Arial"/>
          <w:sz w:val="22"/>
          <w:szCs w:val="22"/>
          <w:lang w:val="es-ES_tradnl"/>
        </w:rPr>
        <w:t>Farmacognosia, Departamento de Farmacia, Facultad de Ciencias Qu</w:t>
      </w:r>
      <w:r>
        <w:rPr>
          <w:rFonts w:ascii="Arial" w:hAnsi="Arial" w:cs="Arial"/>
          <w:sz w:val="22"/>
          <w:szCs w:val="22"/>
          <w:lang w:val="es-ES_tradnl"/>
        </w:rPr>
        <w:t>í</w:t>
      </w:r>
      <w:r w:rsidRPr="005237A8">
        <w:rPr>
          <w:rFonts w:ascii="Arial" w:hAnsi="Arial" w:cs="Arial"/>
          <w:sz w:val="22"/>
          <w:szCs w:val="22"/>
          <w:lang w:val="es-ES_tradnl"/>
        </w:rPr>
        <w:t>micas, Uni</w:t>
      </w:r>
      <w:r>
        <w:rPr>
          <w:rFonts w:ascii="Arial" w:hAnsi="Arial" w:cs="Arial"/>
          <w:sz w:val="22"/>
          <w:szCs w:val="22"/>
          <w:lang w:val="es-ES_tradnl"/>
        </w:rPr>
        <w:t>versidad Nacional de Có</w:t>
      </w:r>
      <w:r w:rsidRPr="005237A8">
        <w:rPr>
          <w:rFonts w:ascii="Arial" w:hAnsi="Arial" w:cs="Arial"/>
          <w:sz w:val="22"/>
          <w:szCs w:val="22"/>
          <w:lang w:val="es-ES_tradnl"/>
        </w:rPr>
        <w:t>rdoba</w:t>
      </w:r>
      <w:r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91506">
        <w:rPr>
          <w:rFonts w:ascii="Arial" w:hAnsi="Arial" w:cs="Arial"/>
          <w:sz w:val="22"/>
          <w:szCs w:val="22"/>
          <w:lang w:val="es-ES_tradnl"/>
        </w:rPr>
        <w:t>(Córdoba, Argentina).</w:t>
      </w:r>
    </w:p>
    <w:p w:rsidR="00B342AC" w:rsidRPr="005237A8" w:rsidRDefault="00B342AC" w:rsidP="005237A8">
      <w:pPr>
        <w:widowControl/>
        <w:suppressAutoHyphens w:val="0"/>
        <w:autoSpaceDE w:val="0"/>
        <w:autoSpaceDN w:val="0"/>
        <w:adjustRightInd w:val="0"/>
        <w:rPr>
          <w:rFonts w:ascii="Arial" w:eastAsiaTheme="minorEastAsia" w:hAnsi="Arial" w:cs="Arial"/>
          <w:color w:val="000000"/>
          <w:kern w:val="0"/>
          <w:sz w:val="22"/>
          <w:szCs w:val="22"/>
          <w:lang w:val="es-ES_tradnl" w:eastAsia="es-AR" w:bidi="ar-SA"/>
        </w:rPr>
      </w:pPr>
    </w:p>
    <w:p w:rsidR="0022496C" w:rsidRDefault="00932B5D" w:rsidP="00B342A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es-ES_tradnl"/>
        </w:rPr>
      </w:pPr>
      <w:r w:rsidRPr="00B342AC">
        <w:rPr>
          <w:rFonts w:ascii="Arial" w:hAnsi="Arial" w:cs="Arial"/>
          <w:bCs/>
          <w:sz w:val="22"/>
          <w:szCs w:val="22"/>
          <w:lang w:val="es-AR"/>
        </w:rPr>
        <w:t xml:space="preserve">Las plantas medicinales han sido utilizadas ampliamente para el tratamiento de una gran variedad de enfermedades. En nuestro grupo de trabajo se ha demostrado la potente capacidad </w:t>
      </w:r>
      <w:r w:rsidR="00BE2CDC" w:rsidRPr="00B342AC">
        <w:rPr>
          <w:rFonts w:ascii="Arial" w:hAnsi="Arial" w:cs="Arial"/>
          <w:bCs/>
          <w:sz w:val="22"/>
          <w:szCs w:val="22"/>
          <w:lang w:val="es-AR"/>
        </w:rPr>
        <w:t>antitumoral</w:t>
      </w:r>
      <w:r w:rsidRPr="00B342AC">
        <w:rPr>
          <w:rFonts w:ascii="Arial" w:hAnsi="Arial" w:cs="Arial"/>
          <w:bCs/>
          <w:sz w:val="22"/>
          <w:szCs w:val="22"/>
          <w:lang w:val="es-AR"/>
        </w:rPr>
        <w:t xml:space="preserve"> de distintos compuestos </w:t>
      </w:r>
      <w:proofErr w:type="spellStart"/>
      <w:r w:rsidRPr="00B342AC">
        <w:rPr>
          <w:rFonts w:ascii="Arial" w:hAnsi="Arial" w:cs="Arial"/>
          <w:bCs/>
          <w:sz w:val="22"/>
          <w:szCs w:val="22"/>
          <w:lang w:val="es-AR"/>
        </w:rPr>
        <w:t>antraquinónicos</w:t>
      </w:r>
      <w:proofErr w:type="spellEnd"/>
      <w:r w:rsidR="00BE2CDC" w:rsidRPr="00B342AC">
        <w:rPr>
          <w:rFonts w:ascii="Arial" w:hAnsi="Arial" w:cs="Arial"/>
          <w:bCs/>
          <w:sz w:val="22"/>
          <w:szCs w:val="22"/>
          <w:lang w:val="es-AR"/>
        </w:rPr>
        <w:t xml:space="preserve"> (</w:t>
      </w:r>
      <w:proofErr w:type="spellStart"/>
      <w:r w:rsidR="00BE2CDC" w:rsidRPr="00B342AC">
        <w:rPr>
          <w:rFonts w:ascii="Arial" w:hAnsi="Arial" w:cs="Arial"/>
          <w:bCs/>
          <w:sz w:val="22"/>
          <w:szCs w:val="22"/>
          <w:lang w:val="es-AR"/>
        </w:rPr>
        <w:t>AQs</w:t>
      </w:r>
      <w:proofErr w:type="spellEnd"/>
      <w:r w:rsidR="00BE2CDC" w:rsidRPr="00B342AC">
        <w:rPr>
          <w:rFonts w:ascii="Arial" w:hAnsi="Arial" w:cs="Arial"/>
          <w:bCs/>
          <w:sz w:val="22"/>
          <w:szCs w:val="22"/>
          <w:lang w:val="es-AR"/>
        </w:rPr>
        <w:t>)</w:t>
      </w:r>
      <w:r w:rsidRPr="00B342AC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r w:rsidRPr="00B342AC">
        <w:rPr>
          <w:rFonts w:ascii="Arial" w:hAnsi="Arial" w:cs="Arial"/>
          <w:sz w:val="22"/>
          <w:szCs w:val="22"/>
          <w:lang w:val="es-AR"/>
        </w:rPr>
        <w:t xml:space="preserve">provenientes de </w:t>
      </w:r>
      <w:r w:rsidRPr="00B342AC">
        <w:rPr>
          <w:rFonts w:ascii="Arial" w:hAnsi="Arial" w:cs="Arial"/>
          <w:bCs/>
          <w:i/>
          <w:iCs/>
          <w:noProof/>
          <w:sz w:val="22"/>
          <w:szCs w:val="22"/>
          <w:lang w:val="es-ES_tradnl"/>
        </w:rPr>
        <w:t xml:space="preserve">Heterophyllaea pustulata </w:t>
      </w:r>
      <w:r w:rsidRPr="00B342AC">
        <w:rPr>
          <w:rFonts w:ascii="Arial" w:hAnsi="Arial" w:cs="Arial"/>
          <w:noProof/>
          <w:sz w:val="22"/>
          <w:szCs w:val="22"/>
          <w:lang w:val="es-ES_tradnl"/>
        </w:rPr>
        <w:t xml:space="preserve">Hook f. </w:t>
      </w:r>
      <w:r w:rsidR="00B342AC" w:rsidRPr="00B342AC">
        <w:rPr>
          <w:rFonts w:ascii="Arial" w:hAnsi="Arial" w:cs="Arial"/>
          <w:noProof/>
          <w:sz w:val="22"/>
          <w:szCs w:val="22"/>
          <w:lang w:val="es-ES_tradnl"/>
        </w:rPr>
        <w:t>(Rubiáceas)</w:t>
      </w:r>
      <w:r w:rsidRPr="00B342AC">
        <w:rPr>
          <w:rFonts w:ascii="Arial" w:hAnsi="Arial" w:cs="Arial"/>
          <w:noProof/>
          <w:sz w:val="22"/>
          <w:szCs w:val="22"/>
          <w:lang w:val="es-ES_tradnl"/>
        </w:rPr>
        <w:t xml:space="preserve">. </w:t>
      </w:r>
      <w:r w:rsidR="00852075" w:rsidRPr="00B342AC">
        <w:rPr>
          <w:rFonts w:ascii="Arial" w:hAnsi="Arial" w:cs="Arial"/>
          <w:bCs/>
          <w:sz w:val="22"/>
          <w:szCs w:val="22"/>
          <w:lang w:val="es-AR"/>
        </w:rPr>
        <w:t>Esta es</w:t>
      </w:r>
      <w:r w:rsidRPr="00B342AC">
        <w:rPr>
          <w:rFonts w:ascii="Arial" w:hAnsi="Arial" w:cs="Arial"/>
          <w:bCs/>
          <w:sz w:val="22"/>
          <w:szCs w:val="22"/>
          <w:lang w:val="es-AR"/>
        </w:rPr>
        <w:t xml:space="preserve">pecie vegetal </w:t>
      </w:r>
      <w:r w:rsidR="00852075" w:rsidRPr="00B342AC">
        <w:rPr>
          <w:rFonts w:ascii="Arial" w:hAnsi="Arial" w:cs="Arial"/>
          <w:bCs/>
          <w:sz w:val="22"/>
          <w:szCs w:val="22"/>
          <w:lang w:val="es-AR"/>
        </w:rPr>
        <w:t xml:space="preserve">crece en el noroeste Argentino y es </w:t>
      </w:r>
      <w:r w:rsidRPr="00B342AC">
        <w:rPr>
          <w:rFonts w:ascii="Arial" w:hAnsi="Arial" w:cs="Arial"/>
          <w:bCs/>
          <w:sz w:val="22"/>
          <w:szCs w:val="22"/>
          <w:lang w:val="es-AR"/>
        </w:rPr>
        <w:t>conocida vulgarmente como "</w:t>
      </w:r>
      <w:proofErr w:type="spellStart"/>
      <w:r w:rsidRPr="00B342AC">
        <w:rPr>
          <w:rFonts w:ascii="Arial" w:hAnsi="Arial" w:cs="Arial"/>
          <w:bCs/>
          <w:sz w:val="22"/>
          <w:szCs w:val="22"/>
          <w:lang w:val="es-AR"/>
        </w:rPr>
        <w:t>cegadera</w:t>
      </w:r>
      <w:proofErr w:type="spellEnd"/>
      <w:r w:rsidRPr="00B342AC">
        <w:rPr>
          <w:rFonts w:ascii="Arial" w:hAnsi="Arial" w:cs="Arial"/>
          <w:bCs/>
          <w:sz w:val="22"/>
          <w:szCs w:val="22"/>
          <w:lang w:val="es-AR"/>
        </w:rPr>
        <w:t xml:space="preserve">" en referencia a la pérdida de visión que provoca en los animales que la ingieren y se exponen directamente a la luz solar. </w:t>
      </w:r>
      <w:r w:rsidRPr="005933F8">
        <w:rPr>
          <w:rFonts w:ascii="Arial" w:hAnsi="Arial" w:cs="Arial"/>
          <w:bCs/>
          <w:sz w:val="22"/>
          <w:szCs w:val="22"/>
          <w:lang w:val="es-AR"/>
        </w:rPr>
        <w:t xml:space="preserve">Entre las distintas AQ analizadas, </w:t>
      </w:r>
      <w:proofErr w:type="spellStart"/>
      <w:r w:rsidRPr="005933F8">
        <w:rPr>
          <w:rFonts w:ascii="Arial" w:hAnsi="Arial" w:cs="Arial"/>
          <w:bCs/>
          <w:sz w:val="22"/>
          <w:szCs w:val="22"/>
          <w:lang w:val="es-AR"/>
        </w:rPr>
        <w:t>Rubiadina</w:t>
      </w:r>
      <w:proofErr w:type="spellEnd"/>
      <w:r w:rsidRPr="005933F8">
        <w:rPr>
          <w:rFonts w:ascii="Arial" w:hAnsi="Arial" w:cs="Arial"/>
          <w:bCs/>
          <w:sz w:val="22"/>
          <w:szCs w:val="22"/>
          <w:lang w:val="es-AR"/>
        </w:rPr>
        <w:t xml:space="preserve"> y </w:t>
      </w:r>
      <w:proofErr w:type="spellStart"/>
      <w:r w:rsidRPr="005933F8">
        <w:rPr>
          <w:rFonts w:ascii="Arial" w:hAnsi="Arial" w:cs="Arial"/>
          <w:bCs/>
          <w:sz w:val="22"/>
          <w:szCs w:val="22"/>
          <w:lang w:val="es-AR"/>
        </w:rPr>
        <w:t>Soranjidiol</w:t>
      </w:r>
      <w:proofErr w:type="spellEnd"/>
      <w:r w:rsidRPr="005933F8">
        <w:rPr>
          <w:rFonts w:ascii="Arial" w:hAnsi="Arial" w:cs="Arial"/>
          <w:bCs/>
          <w:sz w:val="22"/>
          <w:szCs w:val="22"/>
          <w:lang w:val="es-AR"/>
        </w:rPr>
        <w:t xml:space="preserve"> mostraron mayor capacidad en reducir la viabil</w:t>
      </w:r>
      <w:r w:rsidR="00156A4D" w:rsidRPr="005933F8">
        <w:rPr>
          <w:rFonts w:ascii="Arial" w:hAnsi="Arial" w:cs="Arial"/>
          <w:bCs/>
          <w:sz w:val="22"/>
          <w:szCs w:val="22"/>
          <w:lang w:val="es-AR"/>
        </w:rPr>
        <w:t>idad y aumentar los í</w:t>
      </w:r>
      <w:r w:rsidRPr="005933F8">
        <w:rPr>
          <w:rFonts w:ascii="Arial" w:hAnsi="Arial" w:cs="Arial"/>
          <w:bCs/>
          <w:sz w:val="22"/>
          <w:szCs w:val="22"/>
          <w:lang w:val="es-AR"/>
        </w:rPr>
        <w:t xml:space="preserve">ndices </w:t>
      </w:r>
      <w:proofErr w:type="spellStart"/>
      <w:r w:rsidRPr="005933F8">
        <w:rPr>
          <w:rFonts w:ascii="Arial" w:hAnsi="Arial" w:cs="Arial"/>
          <w:bCs/>
          <w:sz w:val="22"/>
          <w:szCs w:val="22"/>
          <w:lang w:val="es-AR"/>
        </w:rPr>
        <w:t>apoptóticos</w:t>
      </w:r>
      <w:proofErr w:type="spellEnd"/>
      <w:r w:rsidR="00B342AC" w:rsidRPr="005933F8">
        <w:rPr>
          <w:rFonts w:ascii="Arial" w:hAnsi="Arial" w:cs="Arial"/>
          <w:bCs/>
          <w:sz w:val="22"/>
          <w:szCs w:val="22"/>
          <w:lang w:val="es-AR"/>
        </w:rPr>
        <w:t xml:space="preserve"> en células de cáncer de mama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. </w:t>
      </w:r>
      <w:r w:rsidRPr="005933F8">
        <w:rPr>
          <w:rFonts w:ascii="Arial" w:hAnsi="Arial" w:cs="Arial"/>
          <w:bCs/>
          <w:sz w:val="22"/>
          <w:szCs w:val="22"/>
          <w:lang w:val="es-AR"/>
        </w:rPr>
        <w:t xml:space="preserve"> 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Debido a que estos derivados son obtenidos en baja cantidad 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a partir de la planta se planteó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el objetivo de 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>generar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cultivos </w:t>
      </w:r>
      <w:r w:rsidRPr="005933F8">
        <w:rPr>
          <w:rFonts w:ascii="Arial" w:hAnsi="Arial" w:cs="Arial"/>
          <w:i/>
          <w:noProof/>
          <w:sz w:val="22"/>
          <w:szCs w:val="22"/>
          <w:lang w:val="es-ES_tradnl"/>
        </w:rPr>
        <w:t>in vitro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de callos y posterior generacion 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>de células en suspension produc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>t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>o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res de AQs. 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Inicialmente se optimizó el medio de cultivo, probando diferentes combinaciones de 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>auxinas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(á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cido naftaleno acético (ANA) y 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>2,4-ácido diclofenolacetico (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>2,4D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>)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) y 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citocininas 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(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cinetina 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(KIN) 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>y bencil amino purina (BAP)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)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>.</w:t>
      </w:r>
      <w:r w:rsidR="00852075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La condición de alta concentración de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2,4 D </w:t>
      </w:r>
      <w:r w:rsidR="00852075" w:rsidRPr="005933F8">
        <w:rPr>
          <w:rFonts w:ascii="Arial" w:hAnsi="Arial" w:cs="Arial"/>
          <w:noProof/>
          <w:sz w:val="22"/>
          <w:szCs w:val="22"/>
          <w:lang w:val="es-ES_tradnl"/>
        </w:rPr>
        <w:t>en combinación con alta con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c</w:t>
      </w:r>
      <w:r w:rsidR="00852075" w:rsidRPr="005933F8">
        <w:rPr>
          <w:rFonts w:ascii="Arial" w:hAnsi="Arial" w:cs="Arial"/>
          <w:noProof/>
          <w:sz w:val="22"/>
          <w:szCs w:val="22"/>
          <w:lang w:val="es-ES_tradnl"/>
        </w:rPr>
        <w:t>e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n</w:t>
      </w:r>
      <w:r w:rsidR="00852075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tración de cinetina 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produjeron</w:t>
      </w:r>
      <w:r w:rsidR="00852075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los callos con crecimiento más rapido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. Sin embargo al aplicar una combinación de cuatro fitohormonas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>: 2 mg/L 2,4-D, 0.5 mg/L ANA, 0.5 mg/L ácido indolacetco (IAA), y 0.2 mg/L cinetina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, l</w:t>
      </w:r>
      <w:r w:rsidR="00852075" w:rsidRPr="005933F8">
        <w:rPr>
          <w:rFonts w:ascii="Arial" w:hAnsi="Arial" w:cs="Arial"/>
          <w:noProof/>
          <w:sz w:val="22"/>
          <w:szCs w:val="22"/>
          <w:lang w:val="es-ES_tradnl"/>
        </w:rPr>
        <w:t>uego de 15 días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,</w:t>
      </w:r>
      <w:r w:rsidR="00852075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se observó que los callos 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crecieron más rápido y 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con 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mejor aspecto que </w:t>
      </w:r>
      <w:r w:rsidR="0022496C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los 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>crecidos con 2,4 D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>y cinetina sol</w:t>
      </w:r>
      <w:r w:rsidR="0022496C" w:rsidRPr="005933F8">
        <w:rPr>
          <w:rFonts w:ascii="Arial" w:hAnsi="Arial" w:cs="Arial"/>
          <w:noProof/>
          <w:sz w:val="22"/>
          <w:szCs w:val="22"/>
          <w:lang w:val="es-ES_tradnl"/>
        </w:rPr>
        <w:t>amente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>. A pa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r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>tir de callos generados en esta condicione</w:t>
      </w:r>
      <w:r w:rsidR="00156A4D" w:rsidRPr="005933F8">
        <w:rPr>
          <w:rFonts w:ascii="Arial" w:hAnsi="Arial" w:cs="Arial"/>
          <w:noProof/>
          <w:sz w:val="22"/>
          <w:szCs w:val="22"/>
          <w:lang w:val="es-ES_tradnl"/>
        </w:rPr>
        <w:t>s se decidió</w:t>
      </w:r>
      <w:r w:rsidR="00BE2CDC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determinar las presencia de </w:t>
      </w:r>
      <w:r w:rsidR="00BE2CDC" w:rsidRPr="006D553E">
        <w:rPr>
          <w:rFonts w:ascii="Arial" w:hAnsi="Arial" w:cs="Arial"/>
          <w:noProof/>
          <w:sz w:val="22"/>
          <w:szCs w:val="22"/>
          <w:lang w:val="es-ES_tradnl"/>
        </w:rPr>
        <w:t>Rubiadina y Soranjdio</w:t>
      </w:r>
      <w:r w:rsidR="006D553E" w:rsidRPr="006D553E">
        <w:rPr>
          <w:rFonts w:ascii="Arial" w:hAnsi="Arial" w:cs="Arial"/>
          <w:noProof/>
          <w:sz w:val="22"/>
          <w:szCs w:val="22"/>
          <w:lang w:val="es-ES_tradnl"/>
        </w:rPr>
        <w:t>l</w:t>
      </w:r>
      <w:r w:rsidR="000248B1" w:rsidRPr="006D553E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="006D553E" w:rsidRPr="006D553E">
        <w:rPr>
          <w:rFonts w:ascii="Arial" w:hAnsi="Arial" w:cs="Arial"/>
          <w:noProof/>
          <w:sz w:val="22"/>
          <w:szCs w:val="22"/>
          <w:lang w:val="es-ES_tradnl"/>
        </w:rPr>
        <w:t>como paso previo a la obtención de suspensiones celulares, mediante</w:t>
      </w:r>
      <w:r w:rsidR="000248B1" w:rsidRPr="006D553E">
        <w:rPr>
          <w:rFonts w:ascii="Arial" w:hAnsi="Arial" w:cs="Arial"/>
          <w:noProof/>
          <w:sz w:val="22"/>
          <w:szCs w:val="22"/>
          <w:lang w:val="es-ES_tradnl"/>
        </w:rPr>
        <w:t xml:space="preserve"> HPLC </w:t>
      </w:r>
      <w:r w:rsidR="006D553E" w:rsidRPr="006D553E">
        <w:rPr>
          <w:rFonts w:ascii="Arial" w:hAnsi="Arial" w:cs="Arial"/>
          <w:noProof/>
          <w:sz w:val="22"/>
          <w:szCs w:val="22"/>
          <w:lang w:val="es-ES_tradnl"/>
        </w:rPr>
        <w:t>se observó</w:t>
      </w:r>
      <w:r w:rsidR="000248B1" w:rsidRPr="006D553E">
        <w:rPr>
          <w:rFonts w:ascii="Arial" w:hAnsi="Arial" w:cs="Arial"/>
          <w:noProof/>
          <w:sz w:val="22"/>
          <w:szCs w:val="22"/>
          <w:lang w:val="es-ES_tradnl"/>
        </w:rPr>
        <w:t xml:space="preserve"> porcentajes altos de estas AQs en los extractos analizados</w:t>
      </w:r>
      <w:r w:rsidR="006D553E">
        <w:rPr>
          <w:rFonts w:ascii="Arial" w:hAnsi="Arial" w:cs="Arial"/>
          <w:noProof/>
          <w:sz w:val="22"/>
          <w:szCs w:val="22"/>
          <w:lang w:val="es-ES_tradnl"/>
        </w:rPr>
        <w:t>.</w:t>
      </w:r>
    </w:p>
    <w:p w:rsidR="00852075" w:rsidRPr="00B342AC" w:rsidRDefault="0022496C" w:rsidP="00B342A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noProof/>
          <w:sz w:val="22"/>
          <w:szCs w:val="22"/>
          <w:lang w:val="es-ES_tradnl"/>
        </w:rPr>
      </w:pPr>
      <w:r w:rsidRPr="005933F8">
        <w:rPr>
          <w:rFonts w:ascii="Arial" w:hAnsi="Arial" w:cs="Arial"/>
          <w:noProof/>
          <w:sz w:val="22"/>
          <w:szCs w:val="22"/>
          <w:lang w:val="es-ES_tradnl"/>
        </w:rPr>
        <w:t>E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>stos resultados desmuestran que las condiciones de cultivo establecidas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 permiten ob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>t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>e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ner callos con 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la morfología adecuada 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para la generacion de células en suspension y la </w:t>
      </w:r>
      <w:r w:rsidRPr="005933F8">
        <w:rPr>
          <w:rFonts w:ascii="Arial" w:hAnsi="Arial" w:cs="Arial"/>
          <w:noProof/>
          <w:sz w:val="22"/>
          <w:szCs w:val="22"/>
          <w:lang w:val="es-ES_tradnl"/>
        </w:rPr>
        <w:t xml:space="preserve">posterior </w:t>
      </w:r>
      <w:r w:rsidR="00B342AC" w:rsidRPr="005933F8">
        <w:rPr>
          <w:rFonts w:ascii="Arial" w:hAnsi="Arial" w:cs="Arial"/>
          <w:noProof/>
          <w:sz w:val="22"/>
          <w:szCs w:val="22"/>
          <w:lang w:val="es-ES_tradnl"/>
        </w:rPr>
        <w:t>obtencion en gran escala de estas drogas que poseen importancia clinica.</w:t>
      </w:r>
      <w:r w:rsidR="00B342AC" w:rsidRPr="00B342AC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  <w:r w:rsidR="00BE2CDC" w:rsidRPr="00B342AC">
        <w:rPr>
          <w:rFonts w:ascii="Arial" w:hAnsi="Arial" w:cs="Arial"/>
          <w:noProof/>
          <w:sz w:val="22"/>
          <w:szCs w:val="22"/>
          <w:lang w:val="es-ES_tradnl"/>
        </w:rPr>
        <w:t xml:space="preserve"> </w:t>
      </w:r>
    </w:p>
    <w:p w:rsidR="00BE2CDC" w:rsidRPr="00B342AC" w:rsidRDefault="00BE2CDC" w:rsidP="00B342A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es-AR"/>
        </w:rPr>
      </w:pPr>
    </w:p>
    <w:p w:rsidR="00A3352F" w:rsidRPr="00B342AC" w:rsidRDefault="00A3352F" w:rsidP="00B342AC">
      <w:pPr>
        <w:spacing w:line="360" w:lineRule="auto"/>
        <w:rPr>
          <w:rFonts w:ascii="Arial" w:hAnsi="Arial" w:cs="Arial"/>
          <w:sz w:val="22"/>
          <w:szCs w:val="22"/>
          <w:lang w:val="es-ES_tradnl"/>
        </w:rPr>
      </w:pPr>
    </w:p>
    <w:sectPr w:rsidR="00A3352F" w:rsidRPr="00B342AC" w:rsidSect="005237A8"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7313C"/>
    <w:multiLevelType w:val="hybridMultilevel"/>
    <w:tmpl w:val="545A8B8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58"/>
    <w:rsid w:val="000248B1"/>
    <w:rsid w:val="000532C8"/>
    <w:rsid w:val="00156A4D"/>
    <w:rsid w:val="001A5858"/>
    <w:rsid w:val="0022496C"/>
    <w:rsid w:val="00230C3F"/>
    <w:rsid w:val="00276CD7"/>
    <w:rsid w:val="00483F48"/>
    <w:rsid w:val="005237A8"/>
    <w:rsid w:val="005423CA"/>
    <w:rsid w:val="005933F8"/>
    <w:rsid w:val="006D553E"/>
    <w:rsid w:val="00755980"/>
    <w:rsid w:val="00806BE8"/>
    <w:rsid w:val="00852075"/>
    <w:rsid w:val="00932B5D"/>
    <w:rsid w:val="00A3352F"/>
    <w:rsid w:val="00B342AC"/>
    <w:rsid w:val="00BE2CDC"/>
    <w:rsid w:val="00BF084A"/>
    <w:rsid w:val="00DC524F"/>
    <w:rsid w:val="00EC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21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s-AR" w:eastAsia="en-US" w:bidi="ar-SA"/>
    </w:rPr>
  </w:style>
  <w:style w:type="paragraph" w:customStyle="1" w:styleId="Default">
    <w:name w:val="Default"/>
    <w:rsid w:val="005237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85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U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1214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val="es-AR" w:eastAsia="en-US" w:bidi="ar-SA"/>
    </w:rPr>
  </w:style>
  <w:style w:type="paragraph" w:customStyle="1" w:styleId="Default">
    <w:name w:val="Default"/>
    <w:rsid w:val="005237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Solcis</dc:creator>
  <cp:lastModifiedBy>Alejandro Salvio Escandon</cp:lastModifiedBy>
  <cp:revision>3</cp:revision>
  <dcterms:created xsi:type="dcterms:W3CDTF">2017-07-05T19:48:00Z</dcterms:created>
  <dcterms:modified xsi:type="dcterms:W3CDTF">2017-07-06T17:50:00Z</dcterms:modified>
</cp:coreProperties>
</file>