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29" w:rsidRPr="0037249F" w:rsidRDefault="0037249F" w:rsidP="0037249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CT</w:t>
      </w:r>
      <w:r w:rsidR="00164E4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1</w:t>
      </w:r>
    </w:p>
    <w:p w:rsidR="00653329" w:rsidRDefault="00653329" w:rsidP="0077432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C30FD9" w:rsidRDefault="0077432A" w:rsidP="0077432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77432A">
        <w:rPr>
          <w:rFonts w:ascii="Arial" w:hAnsi="Arial" w:cs="Arial"/>
          <w:b/>
          <w:sz w:val="22"/>
          <w:szCs w:val="22"/>
        </w:rPr>
        <w:t>Desarrollo de trigo transgénico como estrategia frente al estrés hídrico.</w:t>
      </w:r>
    </w:p>
    <w:p w:rsidR="00D954A1" w:rsidRDefault="0077432A" w:rsidP="0077432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77432A">
        <w:rPr>
          <w:rFonts w:ascii="Arial" w:hAnsi="Arial" w:cs="Arial"/>
          <w:b/>
          <w:sz w:val="22"/>
          <w:szCs w:val="22"/>
        </w:rPr>
        <w:t>Desde el laboratorio la campo.</w:t>
      </w:r>
    </w:p>
    <w:p w:rsidR="007948B2" w:rsidRDefault="007948B2" w:rsidP="0077432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7948B2" w:rsidRPr="007948B2" w:rsidRDefault="007948B2" w:rsidP="007948B2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spellStart"/>
      <w:r w:rsidRPr="007948B2">
        <w:rPr>
          <w:rFonts w:ascii="Arial" w:hAnsi="Arial" w:cs="Arial"/>
          <w:sz w:val="22"/>
          <w:szCs w:val="22"/>
        </w:rPr>
        <w:t>Beznec</w:t>
      </w:r>
      <w:proofErr w:type="spellEnd"/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A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1</w:t>
      </w:r>
      <w:r w:rsidRPr="007948B2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7948B2">
        <w:rPr>
          <w:rFonts w:ascii="Arial" w:hAnsi="Arial" w:cs="Arial"/>
          <w:sz w:val="22"/>
          <w:szCs w:val="22"/>
        </w:rPr>
        <w:t>Faccio</w:t>
      </w:r>
      <w:proofErr w:type="spellEnd"/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P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1</w:t>
      </w:r>
      <w:r w:rsidRPr="007948B2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7948B2">
        <w:rPr>
          <w:rFonts w:ascii="Arial" w:hAnsi="Arial" w:cs="Arial"/>
          <w:sz w:val="22"/>
          <w:szCs w:val="22"/>
        </w:rPr>
        <w:t>Garibotto</w:t>
      </w:r>
      <w:proofErr w:type="spellEnd"/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B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1-2</w:t>
      </w:r>
      <w:r w:rsidRPr="007948B2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7948B2">
        <w:rPr>
          <w:rFonts w:ascii="Arial" w:hAnsi="Arial" w:cs="Arial"/>
          <w:sz w:val="22"/>
          <w:szCs w:val="22"/>
        </w:rPr>
        <w:t>Baroli</w:t>
      </w:r>
      <w:proofErr w:type="spellEnd"/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I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2</w:t>
      </w:r>
      <w:r w:rsidRPr="007948B2">
        <w:rPr>
          <w:rFonts w:ascii="Arial" w:hAnsi="Arial" w:cs="Arial"/>
          <w:sz w:val="22"/>
          <w:szCs w:val="22"/>
        </w:rPr>
        <w:t xml:space="preserve">; Décima </w:t>
      </w:r>
      <w:proofErr w:type="spellStart"/>
      <w:r w:rsidRPr="007948B2">
        <w:rPr>
          <w:rFonts w:ascii="Arial" w:hAnsi="Arial" w:cs="Arial"/>
          <w:sz w:val="22"/>
          <w:szCs w:val="22"/>
        </w:rPr>
        <w:t>Oneto</w:t>
      </w:r>
      <w:proofErr w:type="spellEnd"/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C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1</w:t>
      </w:r>
      <w:r w:rsidRPr="007948B2">
        <w:rPr>
          <w:rFonts w:ascii="Arial" w:hAnsi="Arial" w:cs="Arial"/>
          <w:sz w:val="22"/>
          <w:szCs w:val="22"/>
        </w:rPr>
        <w:t>, Ruiz</w:t>
      </w:r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M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3-4</w:t>
      </w:r>
      <w:r w:rsidRPr="007948B2">
        <w:rPr>
          <w:rFonts w:ascii="Arial" w:hAnsi="Arial" w:cs="Arial"/>
          <w:sz w:val="22"/>
          <w:szCs w:val="22"/>
        </w:rPr>
        <w:t>; Elizondo</w:t>
      </w:r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M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34</w:t>
      </w:r>
      <w:r w:rsidRPr="007948B2">
        <w:rPr>
          <w:rFonts w:ascii="Arial" w:hAnsi="Arial" w:cs="Arial"/>
          <w:sz w:val="22"/>
          <w:szCs w:val="22"/>
        </w:rPr>
        <w:t>; Gonzalez</w:t>
      </w:r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G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5</w:t>
      </w:r>
      <w:r w:rsidRPr="007948B2">
        <w:rPr>
          <w:rFonts w:ascii="Arial" w:hAnsi="Arial" w:cs="Arial"/>
          <w:sz w:val="22"/>
          <w:szCs w:val="22"/>
        </w:rPr>
        <w:t>; Llorente</w:t>
      </w:r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B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6</w:t>
      </w:r>
      <w:r w:rsidRPr="007948B2">
        <w:rPr>
          <w:rFonts w:ascii="Arial" w:hAnsi="Arial" w:cs="Arial"/>
          <w:sz w:val="22"/>
          <w:szCs w:val="22"/>
        </w:rPr>
        <w:t>;</w:t>
      </w:r>
      <w:r w:rsidRPr="007948B2">
        <w:rPr>
          <w:sz w:val="22"/>
          <w:szCs w:val="22"/>
        </w:rPr>
        <w:t xml:space="preserve"> </w:t>
      </w:r>
      <w:r w:rsidRPr="007948B2">
        <w:rPr>
          <w:rFonts w:ascii="Arial" w:hAnsi="Arial" w:cs="Arial"/>
          <w:sz w:val="22"/>
          <w:szCs w:val="22"/>
        </w:rPr>
        <w:t xml:space="preserve">Gomez </w:t>
      </w:r>
      <w:proofErr w:type="spellStart"/>
      <w:r w:rsidRPr="007948B2">
        <w:rPr>
          <w:rFonts w:ascii="Arial" w:hAnsi="Arial" w:cs="Arial"/>
          <w:sz w:val="22"/>
          <w:szCs w:val="22"/>
        </w:rPr>
        <w:t>Mansur</w:t>
      </w:r>
      <w:proofErr w:type="spellEnd"/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N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2</w:t>
      </w:r>
      <w:r w:rsidRPr="007948B2">
        <w:rPr>
          <w:rFonts w:ascii="Arial" w:hAnsi="Arial" w:cs="Arial"/>
          <w:sz w:val="22"/>
          <w:szCs w:val="22"/>
        </w:rPr>
        <w:t>; Benavides</w:t>
      </w:r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P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2-7</w:t>
      </w:r>
      <w:r w:rsidRPr="007948B2">
        <w:rPr>
          <w:rFonts w:ascii="Arial" w:hAnsi="Arial" w:cs="Arial"/>
          <w:sz w:val="22"/>
          <w:szCs w:val="22"/>
        </w:rPr>
        <w:t>; Gallego</w:t>
      </w:r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S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2-7</w:t>
      </w:r>
      <w:r w:rsidRPr="007948B2">
        <w:rPr>
          <w:rFonts w:ascii="Arial" w:hAnsi="Arial" w:cs="Arial"/>
          <w:sz w:val="22"/>
          <w:szCs w:val="22"/>
        </w:rPr>
        <w:t xml:space="preserve">;  </w:t>
      </w:r>
      <w:proofErr w:type="spellStart"/>
      <w:r w:rsidRPr="007948B2">
        <w:rPr>
          <w:rFonts w:ascii="Arial" w:hAnsi="Arial" w:cs="Arial"/>
          <w:sz w:val="22"/>
          <w:szCs w:val="22"/>
        </w:rPr>
        <w:t>Blumwald</w:t>
      </w:r>
      <w:proofErr w:type="spellEnd"/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E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8</w:t>
      </w:r>
      <w:r w:rsidRPr="007948B2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7948B2">
        <w:rPr>
          <w:rFonts w:ascii="Arial" w:hAnsi="Arial" w:cs="Arial"/>
          <w:sz w:val="22"/>
          <w:szCs w:val="22"/>
        </w:rPr>
        <w:t>Becheran</w:t>
      </w:r>
      <w:proofErr w:type="spellEnd"/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D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8</w:t>
      </w:r>
      <w:r w:rsidRPr="007948B2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7948B2">
        <w:rPr>
          <w:rFonts w:ascii="Arial" w:hAnsi="Arial" w:cs="Arial"/>
          <w:sz w:val="22"/>
          <w:szCs w:val="22"/>
        </w:rPr>
        <w:t>Abeledo</w:t>
      </w:r>
      <w:proofErr w:type="spellEnd"/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L.G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</w:rPr>
        <w:t xml:space="preserve"> </w:t>
      </w:r>
      <w:r w:rsidRPr="007948B2">
        <w:rPr>
          <w:rFonts w:ascii="Arial" w:hAnsi="Arial" w:cs="Arial"/>
          <w:sz w:val="22"/>
          <w:szCs w:val="22"/>
          <w:vertAlign w:val="superscript"/>
        </w:rPr>
        <w:t>9-10</w:t>
      </w:r>
      <w:r w:rsidRPr="007948B2">
        <w:rPr>
          <w:rFonts w:ascii="Arial" w:hAnsi="Arial" w:cs="Arial"/>
          <w:sz w:val="22"/>
          <w:szCs w:val="22"/>
        </w:rPr>
        <w:t>; Miralles</w:t>
      </w:r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D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9-10</w:t>
      </w:r>
      <w:r w:rsidRPr="007948B2">
        <w:rPr>
          <w:rFonts w:ascii="Arial" w:hAnsi="Arial" w:cs="Arial"/>
          <w:sz w:val="22"/>
          <w:szCs w:val="22"/>
        </w:rPr>
        <w:t>;</w:t>
      </w:r>
      <w:r w:rsidRPr="007948B2">
        <w:rPr>
          <w:sz w:val="22"/>
          <w:szCs w:val="22"/>
        </w:rPr>
        <w:t xml:space="preserve"> </w:t>
      </w:r>
      <w:r w:rsidRPr="007948B2">
        <w:rPr>
          <w:rFonts w:ascii="Arial" w:hAnsi="Arial" w:cs="Arial"/>
          <w:sz w:val="22"/>
          <w:szCs w:val="22"/>
        </w:rPr>
        <w:t>Díaz Paleo</w:t>
      </w:r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A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1</w:t>
      </w:r>
      <w:r w:rsidRPr="007948B2">
        <w:rPr>
          <w:rFonts w:ascii="Arial" w:hAnsi="Arial" w:cs="Arial"/>
          <w:sz w:val="22"/>
          <w:szCs w:val="22"/>
        </w:rPr>
        <w:t>; Lewi</w:t>
      </w:r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D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1</w:t>
      </w:r>
      <w:r w:rsidR="0037249F">
        <w:rPr>
          <w:rFonts w:ascii="Arial" w:hAnsi="Arial" w:cs="Arial"/>
          <w:sz w:val="22"/>
          <w:szCs w:val="22"/>
        </w:rPr>
        <w:t>y</w:t>
      </w:r>
      <w:r w:rsidRPr="007948B2">
        <w:rPr>
          <w:rFonts w:ascii="Arial" w:hAnsi="Arial" w:cs="Arial"/>
          <w:sz w:val="22"/>
          <w:szCs w:val="22"/>
        </w:rPr>
        <w:t xml:space="preserve"> Bossio</w:t>
      </w:r>
      <w:r w:rsidR="0037249F">
        <w:rPr>
          <w:rFonts w:ascii="Arial" w:hAnsi="Arial" w:cs="Arial"/>
          <w:sz w:val="22"/>
          <w:szCs w:val="22"/>
        </w:rPr>
        <w:t>,</w:t>
      </w:r>
      <w:r w:rsidRPr="007948B2">
        <w:rPr>
          <w:rFonts w:ascii="Arial" w:hAnsi="Arial" w:cs="Arial"/>
          <w:sz w:val="22"/>
          <w:szCs w:val="22"/>
        </w:rPr>
        <w:t xml:space="preserve"> E</w:t>
      </w:r>
      <w:r w:rsidR="0037249F">
        <w:rPr>
          <w:rFonts w:ascii="Arial" w:hAnsi="Arial" w:cs="Arial"/>
          <w:sz w:val="22"/>
          <w:szCs w:val="22"/>
        </w:rPr>
        <w:t>.</w:t>
      </w:r>
      <w:r w:rsidRPr="007948B2">
        <w:rPr>
          <w:rFonts w:ascii="Arial" w:hAnsi="Arial" w:cs="Arial"/>
          <w:sz w:val="22"/>
          <w:szCs w:val="22"/>
          <w:vertAlign w:val="superscript"/>
        </w:rPr>
        <w:t>1</w:t>
      </w:r>
    </w:p>
    <w:p w:rsidR="007948B2" w:rsidRDefault="007948B2" w:rsidP="007948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948B2" w:rsidRDefault="007948B2" w:rsidP="00463A6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948B2">
        <w:rPr>
          <w:rFonts w:ascii="Arial" w:hAnsi="Arial" w:cs="Arial"/>
          <w:sz w:val="22"/>
          <w:szCs w:val="22"/>
          <w:vertAlign w:val="superscript"/>
        </w:rPr>
        <w:t>1</w:t>
      </w:r>
      <w:r w:rsidRPr="007948B2">
        <w:rPr>
          <w:rFonts w:ascii="Arial" w:hAnsi="Arial" w:cs="Arial"/>
          <w:sz w:val="22"/>
          <w:szCs w:val="22"/>
        </w:rPr>
        <w:t xml:space="preserve">Instituto de Genética, </w:t>
      </w:r>
      <w:proofErr w:type="spellStart"/>
      <w:r w:rsidRPr="007948B2">
        <w:rPr>
          <w:rFonts w:ascii="Arial" w:hAnsi="Arial" w:cs="Arial"/>
          <w:sz w:val="22"/>
          <w:szCs w:val="22"/>
        </w:rPr>
        <w:t>CICVyA</w:t>
      </w:r>
      <w:proofErr w:type="spellEnd"/>
      <w:r w:rsidRPr="007948B2">
        <w:rPr>
          <w:rFonts w:ascii="Arial" w:hAnsi="Arial" w:cs="Arial"/>
          <w:sz w:val="22"/>
          <w:szCs w:val="22"/>
        </w:rPr>
        <w:t xml:space="preserve">, INTA, Argentina; </w:t>
      </w:r>
      <w:r w:rsidRPr="007948B2">
        <w:rPr>
          <w:rFonts w:ascii="Arial" w:hAnsi="Arial" w:cs="Arial"/>
          <w:sz w:val="22"/>
          <w:szCs w:val="22"/>
          <w:vertAlign w:val="superscript"/>
        </w:rPr>
        <w:t>2</w:t>
      </w:r>
      <w:r w:rsidRPr="007948B2">
        <w:rPr>
          <w:rFonts w:ascii="Arial" w:hAnsi="Arial" w:cs="Arial"/>
          <w:sz w:val="22"/>
          <w:szCs w:val="22"/>
        </w:rPr>
        <w:t xml:space="preserve">CONICET; </w:t>
      </w:r>
      <w:r w:rsidRPr="007948B2">
        <w:rPr>
          <w:rFonts w:ascii="Arial" w:hAnsi="Arial" w:cs="Arial"/>
          <w:sz w:val="22"/>
          <w:szCs w:val="22"/>
          <w:vertAlign w:val="superscript"/>
        </w:rPr>
        <w:t>3</w:t>
      </w:r>
      <w:r w:rsidRPr="007948B2">
        <w:rPr>
          <w:rFonts w:ascii="Arial" w:hAnsi="Arial" w:cs="Arial"/>
          <w:sz w:val="22"/>
          <w:szCs w:val="22"/>
        </w:rPr>
        <w:t xml:space="preserve">EEA San Juan, INTA; </w:t>
      </w:r>
      <w:r w:rsidRPr="007948B2">
        <w:rPr>
          <w:rFonts w:ascii="Arial" w:hAnsi="Arial" w:cs="Arial"/>
          <w:sz w:val="22"/>
          <w:szCs w:val="22"/>
          <w:vertAlign w:val="superscript"/>
        </w:rPr>
        <w:t>4</w:t>
      </w:r>
      <w:r w:rsidRPr="007948B2">
        <w:rPr>
          <w:rFonts w:ascii="Arial" w:hAnsi="Arial" w:cs="Arial"/>
          <w:sz w:val="22"/>
          <w:szCs w:val="22"/>
        </w:rPr>
        <w:t>Unidad Integrada INTA-UNSJ</w:t>
      </w:r>
      <w:r w:rsidR="00620789">
        <w:rPr>
          <w:rFonts w:ascii="Arial" w:hAnsi="Arial" w:cs="Arial"/>
          <w:sz w:val="22"/>
          <w:szCs w:val="22"/>
        </w:rPr>
        <w:t xml:space="preserve">; </w:t>
      </w:r>
      <w:r w:rsidRPr="007948B2">
        <w:rPr>
          <w:rFonts w:ascii="Arial" w:hAnsi="Arial" w:cs="Arial"/>
          <w:sz w:val="22"/>
          <w:szCs w:val="22"/>
          <w:vertAlign w:val="superscript"/>
        </w:rPr>
        <w:t>5</w:t>
      </w:r>
      <w:r w:rsidRPr="007948B2">
        <w:rPr>
          <w:rFonts w:ascii="Arial" w:hAnsi="Arial" w:cs="Arial"/>
          <w:sz w:val="22"/>
          <w:szCs w:val="22"/>
        </w:rPr>
        <w:t xml:space="preserve">EEA Bordenave, </w:t>
      </w:r>
      <w:r>
        <w:rPr>
          <w:rFonts w:ascii="Arial" w:hAnsi="Arial" w:cs="Arial"/>
          <w:sz w:val="22"/>
          <w:szCs w:val="22"/>
        </w:rPr>
        <w:t>INTA</w:t>
      </w:r>
      <w:r w:rsidRPr="007948B2">
        <w:rPr>
          <w:rFonts w:ascii="Arial" w:hAnsi="Arial" w:cs="Arial"/>
          <w:sz w:val="22"/>
          <w:szCs w:val="22"/>
        </w:rPr>
        <w:t xml:space="preserve">; </w:t>
      </w:r>
      <w:r w:rsidRPr="007948B2">
        <w:rPr>
          <w:rFonts w:ascii="Arial" w:hAnsi="Arial" w:cs="Arial"/>
          <w:sz w:val="22"/>
          <w:szCs w:val="22"/>
          <w:vertAlign w:val="superscript"/>
        </w:rPr>
        <w:t>6</w:t>
      </w:r>
      <w:r w:rsidRPr="007948B2">
        <w:rPr>
          <w:rFonts w:ascii="Arial" w:hAnsi="Arial" w:cs="Arial"/>
          <w:sz w:val="22"/>
          <w:szCs w:val="22"/>
        </w:rPr>
        <w:t xml:space="preserve">Universidad Nacional de Luján, Buenos Aires, Argentina; </w:t>
      </w:r>
      <w:r w:rsidRPr="007948B2">
        <w:rPr>
          <w:rFonts w:ascii="Arial" w:hAnsi="Arial" w:cs="Arial"/>
          <w:sz w:val="22"/>
          <w:szCs w:val="22"/>
          <w:vertAlign w:val="superscript"/>
        </w:rPr>
        <w:t>7</w:t>
      </w:r>
      <w:r w:rsidRPr="007948B2">
        <w:rPr>
          <w:rFonts w:ascii="Arial" w:hAnsi="Arial" w:cs="Arial"/>
          <w:sz w:val="22"/>
          <w:szCs w:val="22"/>
        </w:rPr>
        <w:t xml:space="preserve">Cátedra de Química Biológica Vegetal, </w:t>
      </w:r>
      <w:proofErr w:type="spellStart"/>
      <w:r w:rsidRPr="007948B2">
        <w:rPr>
          <w:rFonts w:ascii="Arial" w:hAnsi="Arial" w:cs="Arial"/>
          <w:sz w:val="22"/>
          <w:szCs w:val="22"/>
        </w:rPr>
        <w:t>FFyB</w:t>
      </w:r>
      <w:proofErr w:type="spellEnd"/>
      <w:r w:rsidRPr="007948B2">
        <w:rPr>
          <w:rFonts w:ascii="Arial" w:hAnsi="Arial" w:cs="Arial"/>
          <w:sz w:val="22"/>
          <w:szCs w:val="22"/>
        </w:rPr>
        <w:t xml:space="preserve">-UBA; </w:t>
      </w:r>
      <w:r w:rsidRPr="007948B2">
        <w:rPr>
          <w:rFonts w:ascii="Arial" w:hAnsi="Arial" w:cs="Arial"/>
          <w:sz w:val="22"/>
          <w:szCs w:val="22"/>
          <w:vertAlign w:val="superscript"/>
        </w:rPr>
        <w:t>8</w:t>
      </w:r>
      <w:r w:rsidRPr="007948B2">
        <w:rPr>
          <w:rFonts w:ascii="Arial" w:hAnsi="Arial" w:cs="Arial"/>
          <w:sz w:val="22"/>
          <w:szCs w:val="22"/>
        </w:rPr>
        <w:t xml:space="preserve">University of California, Davis, USA; </w:t>
      </w:r>
      <w:r w:rsidRPr="007948B2">
        <w:rPr>
          <w:rFonts w:ascii="Arial" w:hAnsi="Arial" w:cs="Arial"/>
          <w:sz w:val="22"/>
          <w:szCs w:val="22"/>
          <w:vertAlign w:val="superscript"/>
        </w:rPr>
        <w:t>9</w:t>
      </w:r>
      <w:r w:rsidRPr="007948B2">
        <w:rPr>
          <w:rFonts w:ascii="Arial" w:hAnsi="Arial" w:cs="Arial"/>
          <w:sz w:val="22"/>
          <w:szCs w:val="22"/>
        </w:rPr>
        <w:t xml:space="preserve">Cátedra de </w:t>
      </w:r>
      <w:proofErr w:type="spellStart"/>
      <w:r w:rsidRPr="007948B2">
        <w:rPr>
          <w:rFonts w:ascii="Arial" w:hAnsi="Arial" w:cs="Arial"/>
          <w:sz w:val="22"/>
          <w:szCs w:val="22"/>
        </w:rPr>
        <w:t>Cerealicultura</w:t>
      </w:r>
      <w:proofErr w:type="spellEnd"/>
      <w:r w:rsidRPr="007948B2">
        <w:rPr>
          <w:rFonts w:ascii="Arial" w:hAnsi="Arial" w:cs="Arial"/>
          <w:sz w:val="22"/>
          <w:szCs w:val="22"/>
        </w:rPr>
        <w:t>, FAUBA;</w:t>
      </w:r>
      <w:r w:rsidRPr="007948B2">
        <w:rPr>
          <w:rFonts w:ascii="Arial" w:hAnsi="Arial" w:cs="Arial"/>
          <w:sz w:val="22"/>
          <w:szCs w:val="22"/>
          <w:vertAlign w:val="superscript"/>
        </w:rPr>
        <w:t>10</w:t>
      </w:r>
      <w:r w:rsidRPr="007948B2">
        <w:rPr>
          <w:rFonts w:ascii="Arial" w:hAnsi="Arial" w:cs="Arial"/>
          <w:sz w:val="22"/>
          <w:szCs w:val="22"/>
        </w:rPr>
        <w:t>IFEVA,</w:t>
      </w:r>
      <w:r>
        <w:rPr>
          <w:rFonts w:ascii="Arial" w:hAnsi="Arial" w:cs="Arial"/>
          <w:sz w:val="22"/>
          <w:szCs w:val="22"/>
        </w:rPr>
        <w:t xml:space="preserve"> </w:t>
      </w:r>
      <w:r w:rsidRPr="007948B2">
        <w:rPr>
          <w:rFonts w:ascii="Arial" w:hAnsi="Arial" w:cs="Arial"/>
          <w:sz w:val="22"/>
          <w:szCs w:val="22"/>
        </w:rPr>
        <w:t>CABA</w:t>
      </w:r>
      <w:r>
        <w:rPr>
          <w:rFonts w:ascii="Arial" w:hAnsi="Arial" w:cs="Arial"/>
          <w:sz w:val="22"/>
          <w:szCs w:val="22"/>
        </w:rPr>
        <w:t>.</w:t>
      </w:r>
    </w:p>
    <w:p w:rsidR="00463A6E" w:rsidRPr="00463A6E" w:rsidRDefault="00463A6E" w:rsidP="00463A6E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  <w:r w:rsidRPr="00463A6E">
        <w:rPr>
          <w:rFonts w:ascii="Arial" w:hAnsi="Arial" w:cs="Arial"/>
          <w:sz w:val="22"/>
          <w:szCs w:val="22"/>
          <w:lang w:val="en-US"/>
        </w:rPr>
        <w:t>Email: beznec.ailin@inta.gob.a</w:t>
      </w:r>
      <w:bookmarkStart w:id="0" w:name="_GoBack"/>
      <w:bookmarkEnd w:id="0"/>
    </w:p>
    <w:p w:rsidR="00D954A1" w:rsidRPr="00463A6E" w:rsidRDefault="00D954A1" w:rsidP="00D954A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312959" w:rsidRDefault="00713BB5" w:rsidP="006651B8">
      <w:pPr>
        <w:spacing w:after="120"/>
        <w:jc w:val="both"/>
        <w:rPr>
          <w:rFonts w:ascii="Arial" w:hAnsi="Arial" w:cs="Arial"/>
        </w:rPr>
      </w:pPr>
      <w:r w:rsidRPr="00943B1C">
        <w:rPr>
          <w:rFonts w:ascii="Arial" w:hAnsi="Arial" w:cs="Arial"/>
        </w:rPr>
        <w:t xml:space="preserve">Está ampliamente demostrado </w:t>
      </w:r>
      <w:r w:rsidR="003A5849" w:rsidRPr="00943B1C">
        <w:rPr>
          <w:rFonts w:ascii="Arial" w:hAnsi="Arial" w:cs="Arial"/>
        </w:rPr>
        <w:t xml:space="preserve">en diferentes especies (tabaco, arroz, maní, maíz) </w:t>
      </w:r>
      <w:r w:rsidRPr="00943B1C">
        <w:rPr>
          <w:rFonts w:ascii="Arial" w:hAnsi="Arial" w:cs="Arial"/>
        </w:rPr>
        <w:t xml:space="preserve">que la expresión del gen </w:t>
      </w:r>
      <w:r w:rsidRPr="00943B1C">
        <w:rPr>
          <w:rFonts w:ascii="Arial" w:hAnsi="Arial" w:cs="Arial"/>
          <w:i/>
        </w:rPr>
        <w:t>ipt</w:t>
      </w:r>
      <w:r w:rsidRPr="00943B1C">
        <w:rPr>
          <w:rFonts w:ascii="Arial" w:hAnsi="Arial" w:cs="Arial"/>
        </w:rPr>
        <w:t xml:space="preserve"> que codifica para la enzima </w:t>
      </w:r>
      <w:proofErr w:type="spellStart"/>
      <w:r w:rsidRPr="00943B1C">
        <w:rPr>
          <w:rFonts w:ascii="Arial" w:hAnsi="Arial" w:cs="Arial"/>
        </w:rPr>
        <w:t>isopenteniltransferasa</w:t>
      </w:r>
      <w:proofErr w:type="spellEnd"/>
      <w:r w:rsidRPr="00943B1C">
        <w:rPr>
          <w:rFonts w:ascii="Arial" w:hAnsi="Arial" w:cs="Arial"/>
        </w:rPr>
        <w:t xml:space="preserve"> (IPT), limitante de la biosíntesis de la </w:t>
      </w:r>
      <w:proofErr w:type="spellStart"/>
      <w:r w:rsidRPr="00943B1C">
        <w:rPr>
          <w:rFonts w:ascii="Arial" w:hAnsi="Arial" w:cs="Arial"/>
        </w:rPr>
        <w:t>citoquinina</w:t>
      </w:r>
      <w:proofErr w:type="spellEnd"/>
      <w:r w:rsidRPr="00943B1C">
        <w:rPr>
          <w:rFonts w:ascii="Arial" w:hAnsi="Arial" w:cs="Arial"/>
        </w:rPr>
        <w:t xml:space="preserve">, bajo el control transcripcional del promotor del gen </w:t>
      </w:r>
      <w:r w:rsidRPr="00943B1C">
        <w:rPr>
          <w:rFonts w:ascii="Arial" w:hAnsi="Arial" w:cs="Arial"/>
          <w:i/>
        </w:rPr>
        <w:t>SARK</w:t>
      </w:r>
      <w:r w:rsidRPr="00943B1C">
        <w:rPr>
          <w:rFonts w:ascii="Arial" w:hAnsi="Arial" w:cs="Arial"/>
        </w:rPr>
        <w:t xml:space="preserve"> (</w:t>
      </w:r>
      <w:proofErr w:type="spellStart"/>
      <w:r w:rsidRPr="00943B1C">
        <w:rPr>
          <w:rFonts w:ascii="Arial" w:hAnsi="Arial" w:cs="Arial"/>
          <w:i/>
        </w:rPr>
        <w:t>Senescence</w:t>
      </w:r>
      <w:proofErr w:type="spellEnd"/>
      <w:r w:rsidRPr="00943B1C">
        <w:rPr>
          <w:rFonts w:ascii="Arial" w:hAnsi="Arial" w:cs="Arial"/>
          <w:i/>
        </w:rPr>
        <w:t xml:space="preserve"> </w:t>
      </w:r>
      <w:proofErr w:type="spellStart"/>
      <w:r w:rsidRPr="00943B1C">
        <w:rPr>
          <w:rFonts w:ascii="Arial" w:hAnsi="Arial" w:cs="Arial"/>
          <w:i/>
        </w:rPr>
        <w:t>Associated</w:t>
      </w:r>
      <w:proofErr w:type="spellEnd"/>
      <w:r w:rsidRPr="00943B1C">
        <w:rPr>
          <w:rFonts w:ascii="Arial" w:hAnsi="Arial" w:cs="Arial"/>
          <w:i/>
        </w:rPr>
        <w:t xml:space="preserve"> Receptor </w:t>
      </w:r>
      <w:proofErr w:type="spellStart"/>
      <w:r w:rsidRPr="00943B1C">
        <w:rPr>
          <w:rFonts w:ascii="Arial" w:hAnsi="Arial" w:cs="Arial"/>
          <w:i/>
        </w:rPr>
        <w:t>Kinase</w:t>
      </w:r>
      <w:proofErr w:type="spellEnd"/>
      <w:r w:rsidR="00AE5696">
        <w:rPr>
          <w:rFonts w:ascii="Arial" w:hAnsi="Arial" w:cs="Arial"/>
        </w:rPr>
        <w:t xml:space="preserve">) retarda </w:t>
      </w:r>
      <w:r w:rsidRPr="00943B1C">
        <w:rPr>
          <w:rFonts w:ascii="Arial" w:hAnsi="Arial" w:cs="Arial"/>
        </w:rPr>
        <w:t>la senescencia celular y a través de ello aumenta la tolerancia al déficit hídrico en plantas.</w:t>
      </w:r>
      <w:r w:rsidRPr="00943B1C" w:rsidDel="00E56690">
        <w:rPr>
          <w:rFonts w:ascii="Arial" w:hAnsi="Arial" w:cs="Arial"/>
        </w:rPr>
        <w:t xml:space="preserve"> </w:t>
      </w:r>
      <w:r w:rsidR="007E54D3">
        <w:rPr>
          <w:rFonts w:ascii="Arial" w:hAnsi="Arial" w:cs="Arial"/>
        </w:rPr>
        <w:t xml:space="preserve">Basándonos en esta estrategia, se </w:t>
      </w:r>
      <w:r w:rsidRPr="00943B1C">
        <w:rPr>
          <w:rFonts w:ascii="Arial" w:hAnsi="Arial" w:cs="Arial"/>
        </w:rPr>
        <w:t xml:space="preserve"> </w:t>
      </w:r>
      <w:r w:rsidR="007E54D3">
        <w:rPr>
          <w:rFonts w:ascii="Arial" w:hAnsi="Arial" w:cs="Arial"/>
        </w:rPr>
        <w:t>introdujo</w:t>
      </w:r>
      <w:r w:rsidRPr="00943B1C">
        <w:rPr>
          <w:rFonts w:ascii="Arial" w:hAnsi="Arial" w:cs="Arial"/>
        </w:rPr>
        <w:t xml:space="preserve"> </w:t>
      </w:r>
      <w:r w:rsidR="00A34B03">
        <w:rPr>
          <w:rFonts w:ascii="Arial" w:hAnsi="Arial" w:cs="Arial"/>
        </w:rPr>
        <w:t>la u</w:t>
      </w:r>
      <w:r w:rsidR="007E54D3" w:rsidRPr="00943B1C">
        <w:rPr>
          <w:rFonts w:ascii="Arial" w:hAnsi="Arial" w:cs="Arial"/>
        </w:rPr>
        <w:t xml:space="preserve">nidad </w:t>
      </w:r>
      <w:proofErr w:type="spellStart"/>
      <w:r w:rsidR="00A34B03">
        <w:rPr>
          <w:rFonts w:ascii="Arial" w:hAnsi="Arial" w:cs="Arial"/>
        </w:rPr>
        <w:t>t</w:t>
      </w:r>
      <w:r w:rsidR="007E54D3" w:rsidRPr="00943B1C">
        <w:rPr>
          <w:rFonts w:ascii="Arial" w:hAnsi="Arial" w:cs="Arial"/>
        </w:rPr>
        <w:t>ranscripcional</w:t>
      </w:r>
      <w:proofErr w:type="spellEnd"/>
      <w:r w:rsidR="007E54D3" w:rsidRPr="00943B1C">
        <w:rPr>
          <w:rFonts w:ascii="Arial" w:hAnsi="Arial" w:cs="Arial"/>
        </w:rPr>
        <w:t xml:space="preserve"> </w:t>
      </w:r>
      <w:r w:rsidR="007E54D3" w:rsidRPr="00943B1C">
        <w:rPr>
          <w:rFonts w:ascii="Arial" w:hAnsi="Arial" w:cs="Arial"/>
          <w:i/>
        </w:rPr>
        <w:t>SARK</w:t>
      </w:r>
      <w:proofErr w:type="gramStart"/>
      <w:r w:rsidR="007E54D3" w:rsidRPr="00943B1C">
        <w:rPr>
          <w:rFonts w:ascii="Arial" w:hAnsi="Arial" w:cs="Arial"/>
          <w:i/>
        </w:rPr>
        <w:t>::</w:t>
      </w:r>
      <w:proofErr w:type="spellStart"/>
      <w:r w:rsidR="007E54D3" w:rsidRPr="00943B1C">
        <w:rPr>
          <w:rFonts w:ascii="Arial" w:hAnsi="Arial" w:cs="Arial"/>
          <w:i/>
        </w:rPr>
        <w:t>ipt</w:t>
      </w:r>
      <w:proofErr w:type="spellEnd"/>
      <w:proofErr w:type="gramEnd"/>
      <w:r w:rsidR="007E54D3" w:rsidRPr="00943B1C">
        <w:rPr>
          <w:rFonts w:ascii="Arial" w:hAnsi="Arial" w:cs="Arial"/>
          <w:i/>
        </w:rPr>
        <w:t>::</w:t>
      </w:r>
      <w:proofErr w:type="spellStart"/>
      <w:r w:rsidR="007E54D3" w:rsidRPr="00943B1C">
        <w:rPr>
          <w:rFonts w:ascii="Arial" w:hAnsi="Arial" w:cs="Arial"/>
          <w:i/>
        </w:rPr>
        <w:t>tnos</w:t>
      </w:r>
      <w:proofErr w:type="spellEnd"/>
      <w:r w:rsidR="007E54D3" w:rsidRPr="00943B1C">
        <w:rPr>
          <w:rFonts w:ascii="Arial" w:hAnsi="Arial" w:cs="Arial"/>
        </w:rPr>
        <w:t xml:space="preserve"> </w:t>
      </w:r>
      <w:r w:rsidR="007E54D3">
        <w:rPr>
          <w:rFonts w:ascii="Arial" w:hAnsi="Arial" w:cs="Arial"/>
        </w:rPr>
        <w:t xml:space="preserve">en </w:t>
      </w:r>
      <w:r w:rsidRPr="00943B1C">
        <w:rPr>
          <w:rFonts w:ascii="Arial" w:hAnsi="Arial" w:cs="Arial"/>
        </w:rPr>
        <w:t>plantas de trigo (</w:t>
      </w:r>
      <w:r w:rsidRPr="00943B1C">
        <w:rPr>
          <w:rFonts w:ascii="Arial" w:hAnsi="Arial" w:cs="Arial"/>
          <w:i/>
        </w:rPr>
        <w:t>Triticum aestivum</w:t>
      </w:r>
      <w:r w:rsidRPr="00943B1C">
        <w:rPr>
          <w:rFonts w:ascii="Arial" w:hAnsi="Arial" w:cs="Arial"/>
        </w:rPr>
        <w:t xml:space="preserve"> L.) variedad ProINTA Federal (PIF) mediante biolística. </w:t>
      </w:r>
      <w:r w:rsidR="006651B8" w:rsidRPr="00943B1C">
        <w:rPr>
          <w:rFonts w:ascii="Arial" w:hAnsi="Arial" w:cs="Arial"/>
        </w:rPr>
        <w:t xml:space="preserve">Luego de la obtención de los eventos en el laboratorio de Transformación Genética de INTA se realizó una exhaustiva caracterización </w:t>
      </w:r>
      <w:r w:rsidR="00601A6F" w:rsidRPr="00601A6F">
        <w:rPr>
          <w:rFonts w:ascii="Arial" w:hAnsi="Arial" w:cs="Arial"/>
        </w:rPr>
        <w:t>fisiológica, molecular, morfológica y de rendimiento</w:t>
      </w:r>
      <w:r w:rsidR="006651B8" w:rsidRPr="00943B1C">
        <w:rPr>
          <w:rFonts w:ascii="Arial" w:hAnsi="Arial" w:cs="Arial"/>
        </w:rPr>
        <w:t xml:space="preserve"> en condiciones de cultivo controladas. Primero se realizaron ensayos a nivel de planta independiente dentro de cuartos de cultivo y posteriormente a nivel de microcultivo (285 plantas/m</w:t>
      </w:r>
      <w:r w:rsidR="006651B8" w:rsidRPr="002A7569">
        <w:rPr>
          <w:rFonts w:ascii="Arial" w:hAnsi="Arial" w:cs="Arial"/>
          <w:vertAlign w:val="superscript"/>
        </w:rPr>
        <w:t>2</w:t>
      </w:r>
      <w:r w:rsidR="006651B8" w:rsidRPr="00943B1C">
        <w:rPr>
          <w:rFonts w:ascii="Arial" w:hAnsi="Arial" w:cs="Arial"/>
        </w:rPr>
        <w:t>) dentro de un invernáculo de bioseguridad.</w:t>
      </w:r>
      <w:r w:rsidRPr="00943B1C">
        <w:rPr>
          <w:rFonts w:ascii="Arial" w:hAnsi="Arial" w:cs="Arial"/>
        </w:rPr>
        <w:t xml:space="preserve"> </w:t>
      </w:r>
      <w:r w:rsidR="000C0004">
        <w:rPr>
          <w:rFonts w:ascii="Arial" w:hAnsi="Arial" w:cs="Arial"/>
        </w:rPr>
        <w:t>E</w:t>
      </w:r>
      <w:r w:rsidR="000C0004" w:rsidRPr="000C0004">
        <w:rPr>
          <w:rFonts w:ascii="Arial" w:hAnsi="Arial" w:cs="Arial"/>
        </w:rPr>
        <w:t xml:space="preserve">l análisis molecular realizado </w:t>
      </w:r>
      <w:r w:rsidR="003E235D" w:rsidRPr="000C0004">
        <w:rPr>
          <w:rFonts w:ascii="Arial" w:hAnsi="Arial" w:cs="Arial"/>
        </w:rPr>
        <w:t>durante estos ensayos</w:t>
      </w:r>
      <w:r w:rsidR="000C0004" w:rsidRPr="000C0004">
        <w:rPr>
          <w:rFonts w:ascii="Arial" w:hAnsi="Arial" w:cs="Arial"/>
        </w:rPr>
        <w:t xml:space="preserve"> permitió comprobar que el nivel de expresión del </w:t>
      </w:r>
      <w:proofErr w:type="spellStart"/>
      <w:r w:rsidR="000C0004" w:rsidRPr="000C0004">
        <w:rPr>
          <w:rFonts w:ascii="Arial" w:hAnsi="Arial" w:cs="Arial"/>
        </w:rPr>
        <w:t>transgén</w:t>
      </w:r>
      <w:proofErr w:type="spellEnd"/>
      <w:r w:rsidR="000C0004" w:rsidRPr="000C0004">
        <w:rPr>
          <w:rFonts w:ascii="Arial" w:hAnsi="Arial" w:cs="Arial"/>
        </w:rPr>
        <w:t xml:space="preserve"> </w:t>
      </w:r>
      <w:proofErr w:type="spellStart"/>
      <w:r w:rsidR="000C0004" w:rsidRPr="002A7569">
        <w:rPr>
          <w:rFonts w:ascii="Arial" w:hAnsi="Arial" w:cs="Arial"/>
          <w:i/>
        </w:rPr>
        <w:t>ipt</w:t>
      </w:r>
      <w:proofErr w:type="spellEnd"/>
      <w:r w:rsidR="000C0004" w:rsidRPr="000C0004">
        <w:rPr>
          <w:rFonts w:ascii="Arial" w:hAnsi="Arial" w:cs="Arial"/>
        </w:rPr>
        <w:t xml:space="preserve"> se </w:t>
      </w:r>
      <w:r w:rsidR="00F53AC4">
        <w:rPr>
          <w:rFonts w:ascii="Arial" w:hAnsi="Arial" w:cs="Arial"/>
        </w:rPr>
        <w:t>había incrementado</w:t>
      </w:r>
      <w:r w:rsidR="000C0004" w:rsidRPr="000C0004">
        <w:rPr>
          <w:rFonts w:ascii="Arial" w:hAnsi="Arial" w:cs="Arial"/>
        </w:rPr>
        <w:t xml:space="preserve"> durante el estrés hídrico.</w:t>
      </w:r>
      <w:r w:rsidRPr="00943B1C">
        <w:rPr>
          <w:rFonts w:ascii="Arial" w:hAnsi="Arial" w:cs="Arial"/>
        </w:rPr>
        <w:t xml:space="preserve"> Asimismo, </w:t>
      </w:r>
      <w:r w:rsidR="002B72C3">
        <w:rPr>
          <w:rFonts w:ascii="Arial" w:hAnsi="Arial" w:cs="Arial"/>
        </w:rPr>
        <w:t xml:space="preserve">se observó que </w:t>
      </w:r>
      <w:r w:rsidRPr="00943B1C">
        <w:rPr>
          <w:rFonts w:ascii="Arial" w:hAnsi="Arial" w:cs="Arial"/>
        </w:rPr>
        <w:t xml:space="preserve">los eventos </w:t>
      </w:r>
      <w:r w:rsidR="008310ED">
        <w:rPr>
          <w:rFonts w:ascii="Arial" w:hAnsi="Arial" w:cs="Arial"/>
        </w:rPr>
        <w:t xml:space="preserve">obtenidos </w:t>
      </w:r>
      <w:r w:rsidR="002B72C3">
        <w:rPr>
          <w:rFonts w:ascii="Arial" w:hAnsi="Arial" w:cs="Arial"/>
        </w:rPr>
        <w:t xml:space="preserve">tuvieron </w:t>
      </w:r>
      <w:r w:rsidR="001C6C88">
        <w:rPr>
          <w:rFonts w:ascii="Arial" w:hAnsi="Arial" w:cs="Arial"/>
        </w:rPr>
        <w:t>significativa</w:t>
      </w:r>
      <w:r w:rsidR="008310ED">
        <w:rPr>
          <w:rFonts w:ascii="Arial" w:hAnsi="Arial" w:cs="Arial"/>
        </w:rPr>
        <w:t xml:space="preserve">mente reducida la pérdida </w:t>
      </w:r>
      <w:r w:rsidR="002B72C3">
        <w:rPr>
          <w:rFonts w:ascii="Arial" w:hAnsi="Arial" w:cs="Arial"/>
        </w:rPr>
        <w:t>del</w:t>
      </w:r>
      <w:r w:rsidR="001C6C88">
        <w:rPr>
          <w:rFonts w:ascii="Arial" w:hAnsi="Arial" w:cs="Arial"/>
        </w:rPr>
        <w:t xml:space="preserve"> rendimiento </w:t>
      </w:r>
      <w:r w:rsidR="008310ED">
        <w:rPr>
          <w:rFonts w:ascii="Arial" w:hAnsi="Arial" w:cs="Arial"/>
        </w:rPr>
        <w:t>de grano</w:t>
      </w:r>
      <w:r w:rsidR="002A7569">
        <w:rPr>
          <w:rFonts w:ascii="Arial" w:hAnsi="Arial" w:cs="Arial"/>
        </w:rPr>
        <w:t xml:space="preserve"> </w:t>
      </w:r>
      <w:r w:rsidRPr="00943B1C">
        <w:rPr>
          <w:rFonts w:ascii="Arial" w:hAnsi="Arial" w:cs="Arial"/>
        </w:rPr>
        <w:t>respecto al control PIF bajo condiciones de restricción hídrica</w:t>
      </w:r>
      <w:r w:rsidR="001C6C88">
        <w:rPr>
          <w:rFonts w:ascii="Arial" w:hAnsi="Arial" w:cs="Arial"/>
        </w:rPr>
        <w:t>.</w:t>
      </w:r>
      <w:r w:rsidRPr="00943B1C">
        <w:rPr>
          <w:rFonts w:ascii="Arial" w:hAnsi="Arial" w:cs="Arial"/>
        </w:rPr>
        <w:t xml:space="preserve"> </w:t>
      </w:r>
      <w:r w:rsidR="001C6C88">
        <w:rPr>
          <w:rFonts w:ascii="Arial" w:hAnsi="Arial" w:cs="Arial"/>
        </w:rPr>
        <w:t>Por otro lado,</w:t>
      </w:r>
      <w:r w:rsidR="001C6C88" w:rsidRPr="00943B1C">
        <w:rPr>
          <w:rFonts w:ascii="Arial" w:hAnsi="Arial" w:cs="Arial"/>
        </w:rPr>
        <w:t xml:space="preserve"> </w:t>
      </w:r>
      <w:r w:rsidRPr="00943B1C">
        <w:rPr>
          <w:rFonts w:ascii="Arial" w:hAnsi="Arial" w:cs="Arial"/>
        </w:rPr>
        <w:t xml:space="preserve">bajo </w:t>
      </w:r>
      <w:r w:rsidR="001C6C88" w:rsidRPr="00943B1C">
        <w:rPr>
          <w:rFonts w:ascii="Arial" w:hAnsi="Arial" w:cs="Arial"/>
        </w:rPr>
        <w:t xml:space="preserve">condiciones de </w:t>
      </w:r>
      <w:r w:rsidRPr="00943B1C">
        <w:rPr>
          <w:rFonts w:ascii="Arial" w:hAnsi="Arial" w:cs="Arial"/>
        </w:rPr>
        <w:t>riego normal</w:t>
      </w:r>
      <w:r w:rsidR="00F53AC4">
        <w:rPr>
          <w:rFonts w:ascii="Arial" w:hAnsi="Arial" w:cs="Arial"/>
        </w:rPr>
        <w:t>,</w:t>
      </w:r>
      <w:r w:rsidR="001C6C88" w:rsidRPr="001C6C88">
        <w:rPr>
          <w:rFonts w:ascii="Arial" w:hAnsi="Arial" w:cs="Arial"/>
        </w:rPr>
        <w:t xml:space="preserve"> </w:t>
      </w:r>
      <w:r w:rsidR="001C6C88" w:rsidRPr="00943B1C">
        <w:rPr>
          <w:rFonts w:ascii="Arial" w:hAnsi="Arial" w:cs="Arial"/>
        </w:rPr>
        <w:t>no presentaron penalización en rendimiento</w:t>
      </w:r>
      <w:r w:rsidR="001C6C88">
        <w:rPr>
          <w:rFonts w:ascii="Arial" w:hAnsi="Arial" w:cs="Arial"/>
        </w:rPr>
        <w:t>.</w:t>
      </w:r>
      <w:r w:rsidRPr="00943B1C">
        <w:rPr>
          <w:rFonts w:ascii="Arial" w:hAnsi="Arial" w:cs="Arial"/>
        </w:rPr>
        <w:t xml:space="preserve"> </w:t>
      </w:r>
      <w:r w:rsidR="001C6C88">
        <w:rPr>
          <w:rFonts w:ascii="Arial" w:hAnsi="Arial" w:cs="Arial"/>
        </w:rPr>
        <w:t>Estos</w:t>
      </w:r>
      <w:r w:rsidR="001C6C88" w:rsidRPr="00943B1C">
        <w:rPr>
          <w:rFonts w:ascii="Arial" w:hAnsi="Arial" w:cs="Arial"/>
        </w:rPr>
        <w:t xml:space="preserve"> </w:t>
      </w:r>
      <w:r w:rsidR="00D954A1" w:rsidRPr="00943B1C">
        <w:rPr>
          <w:rFonts w:ascii="Arial" w:hAnsi="Arial" w:cs="Arial"/>
        </w:rPr>
        <w:t xml:space="preserve">resultados promovieron la realización de ensayos a campo para verificar si </w:t>
      </w:r>
      <w:r w:rsidR="00F53AC4">
        <w:rPr>
          <w:rFonts w:ascii="Arial" w:hAnsi="Arial" w:cs="Arial"/>
        </w:rPr>
        <w:t>el comportamiento</w:t>
      </w:r>
      <w:r w:rsidR="00D954A1" w:rsidRPr="00943B1C">
        <w:rPr>
          <w:rFonts w:ascii="Arial" w:hAnsi="Arial" w:cs="Arial"/>
        </w:rPr>
        <w:t xml:space="preserve"> de los event</w:t>
      </w:r>
      <w:r w:rsidR="00F53AC4">
        <w:rPr>
          <w:rFonts w:ascii="Arial" w:hAnsi="Arial" w:cs="Arial"/>
        </w:rPr>
        <w:t>os evaluados a escala de planta</w:t>
      </w:r>
      <w:r w:rsidR="00D954A1" w:rsidRPr="00943B1C">
        <w:rPr>
          <w:rFonts w:ascii="Arial" w:hAnsi="Arial" w:cs="Arial"/>
        </w:rPr>
        <w:t xml:space="preserve"> era </w:t>
      </w:r>
      <w:r w:rsidR="001C6C88">
        <w:rPr>
          <w:rFonts w:ascii="Arial" w:hAnsi="Arial" w:cs="Arial"/>
        </w:rPr>
        <w:t>consistente</w:t>
      </w:r>
      <w:r w:rsidR="001C6C88" w:rsidRPr="00943B1C">
        <w:rPr>
          <w:rFonts w:ascii="Arial" w:hAnsi="Arial" w:cs="Arial"/>
        </w:rPr>
        <w:t xml:space="preserve"> </w:t>
      </w:r>
      <w:r w:rsidR="00F53AC4">
        <w:rPr>
          <w:rFonts w:ascii="Arial" w:hAnsi="Arial" w:cs="Arial"/>
        </w:rPr>
        <w:t xml:space="preserve">a </w:t>
      </w:r>
      <w:r w:rsidR="00D954A1" w:rsidRPr="00943B1C">
        <w:rPr>
          <w:rFonts w:ascii="Arial" w:hAnsi="Arial" w:cs="Arial"/>
        </w:rPr>
        <w:t xml:space="preserve">escala de cultivo. Para </w:t>
      </w:r>
      <w:r w:rsidR="005F3517">
        <w:rPr>
          <w:rFonts w:ascii="Arial" w:hAnsi="Arial" w:cs="Arial"/>
        </w:rPr>
        <w:t>ello se</w:t>
      </w:r>
      <w:r w:rsidR="00D954A1" w:rsidRPr="00943B1C">
        <w:rPr>
          <w:rFonts w:ascii="Arial" w:hAnsi="Arial" w:cs="Arial"/>
        </w:rPr>
        <w:t xml:space="preserve"> realizaron ensayos regulados a campo en dos localidades: Bordenave (provincia de Buenos Aires) y Pocito (provincia de San Juan). </w:t>
      </w:r>
      <w:r w:rsidR="00840E92">
        <w:rPr>
          <w:rFonts w:ascii="Arial" w:hAnsi="Arial" w:cs="Arial"/>
        </w:rPr>
        <w:t xml:space="preserve">Los </w:t>
      </w:r>
      <w:r w:rsidR="00A6344A">
        <w:rPr>
          <w:rFonts w:ascii="Arial" w:hAnsi="Arial" w:cs="Arial"/>
        </w:rPr>
        <w:t>resultados</w:t>
      </w:r>
      <w:r w:rsidR="007E3A0C">
        <w:rPr>
          <w:rFonts w:ascii="Arial" w:hAnsi="Arial" w:cs="Arial"/>
        </w:rPr>
        <w:t xml:space="preserve"> indicaron que </w:t>
      </w:r>
      <w:r w:rsidR="007E3A0C" w:rsidRPr="00943B1C">
        <w:rPr>
          <w:rFonts w:ascii="Arial" w:hAnsi="Arial" w:cs="Arial"/>
        </w:rPr>
        <w:t>los eventos</w:t>
      </w:r>
      <w:r w:rsidR="007E3A0C" w:rsidRPr="007E3A0C">
        <w:rPr>
          <w:rFonts w:ascii="Arial" w:hAnsi="Arial" w:cs="Arial"/>
        </w:rPr>
        <w:t xml:space="preserve"> </w:t>
      </w:r>
      <w:r w:rsidR="00840E92">
        <w:rPr>
          <w:rFonts w:ascii="Arial" w:hAnsi="Arial" w:cs="Arial"/>
        </w:rPr>
        <w:t>mostraron</w:t>
      </w:r>
      <w:r w:rsidR="007E3A0C" w:rsidRPr="00943B1C">
        <w:rPr>
          <w:rFonts w:ascii="Arial" w:hAnsi="Arial" w:cs="Arial"/>
        </w:rPr>
        <w:t xml:space="preserve"> una tolerancia diferencial a sequía similar a la registrada anteriormente en los ensayos llevados a cabo en condiciones controladas, poniendo de manifiesto el potencial de este desarrollo.</w:t>
      </w:r>
      <w:r w:rsidR="008310ED">
        <w:rPr>
          <w:rFonts w:ascii="Arial" w:hAnsi="Arial" w:cs="Arial"/>
        </w:rPr>
        <w:t xml:space="preserve"> </w:t>
      </w:r>
      <w:r w:rsidR="00312959">
        <w:rPr>
          <w:rFonts w:ascii="Arial" w:hAnsi="Arial" w:cs="Arial"/>
        </w:rPr>
        <w:t>Actualmente se están evaluando nuevos parámetros fisiológicos</w:t>
      </w:r>
      <w:r w:rsidR="00C116CE">
        <w:rPr>
          <w:rFonts w:ascii="Arial" w:hAnsi="Arial" w:cs="Arial"/>
        </w:rPr>
        <w:t xml:space="preserve">, bioquímicos </w:t>
      </w:r>
      <w:r w:rsidR="00312959">
        <w:rPr>
          <w:rFonts w:ascii="Arial" w:hAnsi="Arial" w:cs="Arial"/>
        </w:rPr>
        <w:t xml:space="preserve">y moleculares, así como la respuesta de los eventos de mejor </w:t>
      </w:r>
      <w:r w:rsidR="00105E71">
        <w:rPr>
          <w:rFonts w:ascii="Arial" w:hAnsi="Arial" w:cs="Arial"/>
        </w:rPr>
        <w:t>comportamiento</w:t>
      </w:r>
      <w:r w:rsidR="00312959">
        <w:rPr>
          <w:rFonts w:ascii="Arial" w:hAnsi="Arial" w:cs="Arial"/>
        </w:rPr>
        <w:t xml:space="preserve"> frente a </w:t>
      </w:r>
      <w:r w:rsidR="006F2856">
        <w:rPr>
          <w:rFonts w:ascii="Arial" w:hAnsi="Arial" w:cs="Arial"/>
        </w:rPr>
        <w:t>diferentes</w:t>
      </w:r>
      <w:r w:rsidR="00312959">
        <w:rPr>
          <w:rFonts w:ascii="Arial" w:hAnsi="Arial" w:cs="Arial"/>
        </w:rPr>
        <w:t xml:space="preserve"> tipos de estrés</w:t>
      </w:r>
      <w:r w:rsidR="006F2856">
        <w:rPr>
          <w:rFonts w:ascii="Arial" w:hAnsi="Arial" w:cs="Arial"/>
        </w:rPr>
        <w:t>, tanto en la parte aérea como a nivel radicular.</w:t>
      </w:r>
    </w:p>
    <w:p w:rsidR="0002626D" w:rsidRDefault="0002626D" w:rsidP="006651B8">
      <w:pPr>
        <w:spacing w:after="120"/>
        <w:jc w:val="both"/>
        <w:rPr>
          <w:rFonts w:ascii="Arial" w:hAnsi="Arial" w:cs="Arial"/>
        </w:rPr>
      </w:pPr>
    </w:p>
    <w:p w:rsidR="006F2856" w:rsidRDefault="006F2856" w:rsidP="006651B8">
      <w:pPr>
        <w:spacing w:after="120"/>
        <w:jc w:val="both"/>
        <w:rPr>
          <w:rFonts w:ascii="Arial" w:hAnsi="Arial" w:cs="Arial"/>
        </w:rPr>
      </w:pPr>
    </w:p>
    <w:p w:rsidR="006F2856" w:rsidRDefault="006F2856" w:rsidP="006651B8">
      <w:pPr>
        <w:spacing w:after="120"/>
        <w:jc w:val="both"/>
        <w:rPr>
          <w:rFonts w:ascii="Arial" w:hAnsi="Arial" w:cs="Arial"/>
        </w:rPr>
      </w:pPr>
    </w:p>
    <w:sectPr w:rsidR="006F2856" w:rsidSect="00653329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A1"/>
    <w:rsid w:val="0002626D"/>
    <w:rsid w:val="000C0004"/>
    <w:rsid w:val="00105E71"/>
    <w:rsid w:val="00131B64"/>
    <w:rsid w:val="00164E46"/>
    <w:rsid w:val="001B58AB"/>
    <w:rsid w:val="001C6C88"/>
    <w:rsid w:val="002024B5"/>
    <w:rsid w:val="00221CAF"/>
    <w:rsid w:val="002A7569"/>
    <w:rsid w:val="002B72C3"/>
    <w:rsid w:val="00312959"/>
    <w:rsid w:val="003272A7"/>
    <w:rsid w:val="0037249F"/>
    <w:rsid w:val="003A5849"/>
    <w:rsid w:val="003E235D"/>
    <w:rsid w:val="00463A6E"/>
    <w:rsid w:val="00494450"/>
    <w:rsid w:val="00534281"/>
    <w:rsid w:val="005F3517"/>
    <w:rsid w:val="00601A6F"/>
    <w:rsid w:val="00620789"/>
    <w:rsid w:val="0063546D"/>
    <w:rsid w:val="00653329"/>
    <w:rsid w:val="006651B8"/>
    <w:rsid w:val="00685AE3"/>
    <w:rsid w:val="006F2856"/>
    <w:rsid w:val="00701A26"/>
    <w:rsid w:val="00703C4C"/>
    <w:rsid w:val="0071212D"/>
    <w:rsid w:val="00713BB5"/>
    <w:rsid w:val="0077432A"/>
    <w:rsid w:val="007948B2"/>
    <w:rsid w:val="007E3A0C"/>
    <w:rsid w:val="007E54D3"/>
    <w:rsid w:val="008310ED"/>
    <w:rsid w:val="00840E92"/>
    <w:rsid w:val="00847672"/>
    <w:rsid w:val="00943B1C"/>
    <w:rsid w:val="00A34B03"/>
    <w:rsid w:val="00A47253"/>
    <w:rsid w:val="00A6344A"/>
    <w:rsid w:val="00AC6126"/>
    <w:rsid w:val="00AD673C"/>
    <w:rsid w:val="00AE5696"/>
    <w:rsid w:val="00B566D3"/>
    <w:rsid w:val="00C116CE"/>
    <w:rsid w:val="00C227EC"/>
    <w:rsid w:val="00C30FD9"/>
    <w:rsid w:val="00C7613F"/>
    <w:rsid w:val="00D54C0F"/>
    <w:rsid w:val="00D954A1"/>
    <w:rsid w:val="00E11E45"/>
    <w:rsid w:val="00E608D3"/>
    <w:rsid w:val="00EB7304"/>
    <w:rsid w:val="00F5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54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itulo2ailin">
    <w:name w:val="titulo 2 ailin"/>
    <w:basedOn w:val="Normal"/>
    <w:link w:val="titulo2ailinCar"/>
    <w:qFormat/>
    <w:rsid w:val="00840E92"/>
    <w:pPr>
      <w:keepNext/>
      <w:keepLines/>
      <w:spacing w:before="240" w:after="120" w:line="360" w:lineRule="auto"/>
      <w:jc w:val="both"/>
      <w:outlineLvl w:val="1"/>
    </w:pPr>
    <w:rPr>
      <w:rFonts w:ascii="Arial" w:eastAsia="Times New Roman" w:hAnsi="Arial" w:cs="Times New Roman"/>
      <w:b/>
      <w:caps/>
      <w:kern w:val="32"/>
      <w:sz w:val="24"/>
      <w:szCs w:val="20"/>
      <w:lang w:val="x-none" w:eastAsia="es-ES"/>
    </w:rPr>
  </w:style>
  <w:style w:type="character" w:customStyle="1" w:styleId="titulo2ailinCar">
    <w:name w:val="titulo 2 ailin Car"/>
    <w:link w:val="titulo2ailin"/>
    <w:rsid w:val="00840E92"/>
    <w:rPr>
      <w:rFonts w:ascii="Arial" w:eastAsia="Times New Roman" w:hAnsi="Arial" w:cs="Times New Roman"/>
      <w:b/>
      <w:caps/>
      <w:kern w:val="32"/>
      <w:sz w:val="24"/>
      <w:szCs w:val="20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0E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0E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0E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0E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0E9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54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itulo2ailin">
    <w:name w:val="titulo 2 ailin"/>
    <w:basedOn w:val="Normal"/>
    <w:link w:val="titulo2ailinCar"/>
    <w:qFormat/>
    <w:rsid w:val="00840E92"/>
    <w:pPr>
      <w:keepNext/>
      <w:keepLines/>
      <w:spacing w:before="240" w:after="120" w:line="360" w:lineRule="auto"/>
      <w:jc w:val="both"/>
      <w:outlineLvl w:val="1"/>
    </w:pPr>
    <w:rPr>
      <w:rFonts w:ascii="Arial" w:eastAsia="Times New Roman" w:hAnsi="Arial" w:cs="Times New Roman"/>
      <w:b/>
      <w:caps/>
      <w:kern w:val="32"/>
      <w:sz w:val="24"/>
      <w:szCs w:val="20"/>
      <w:lang w:val="x-none" w:eastAsia="es-ES"/>
    </w:rPr>
  </w:style>
  <w:style w:type="character" w:customStyle="1" w:styleId="titulo2ailinCar">
    <w:name w:val="titulo 2 ailin Car"/>
    <w:link w:val="titulo2ailin"/>
    <w:rsid w:val="00840E92"/>
    <w:rPr>
      <w:rFonts w:ascii="Arial" w:eastAsia="Times New Roman" w:hAnsi="Arial" w:cs="Times New Roman"/>
      <w:b/>
      <w:caps/>
      <w:kern w:val="32"/>
      <w:sz w:val="24"/>
      <w:szCs w:val="20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0E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0E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0E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0E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0E9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A8630A-086E-45FE-BF5E-58047EBD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Ailín Beznec</dc:creator>
  <cp:lastModifiedBy>Alejandro Salvio Escandon</cp:lastModifiedBy>
  <cp:revision>4</cp:revision>
  <dcterms:created xsi:type="dcterms:W3CDTF">2017-08-17T19:16:00Z</dcterms:created>
  <dcterms:modified xsi:type="dcterms:W3CDTF">2017-08-28T12:43:00Z</dcterms:modified>
</cp:coreProperties>
</file>